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F4F525" w14:textId="77777777" w:rsidR="00875BC3" w:rsidRPr="00B62A34" w:rsidRDefault="0089762A" w:rsidP="008224B9">
      <w:pPr>
        <w:jc w:val="center"/>
        <w:rPr>
          <w:rFonts w:ascii="Cambria" w:hAnsi="Cambria"/>
          <w:b/>
          <w:sz w:val="28"/>
        </w:rPr>
      </w:pPr>
      <w:r w:rsidRPr="00B62A34">
        <w:rPr>
          <w:rFonts w:ascii="Cambria" w:hAnsi="Cambria"/>
          <w:b/>
          <w:sz w:val="28"/>
        </w:rPr>
        <w:t>Summary of Household Research</w:t>
      </w:r>
    </w:p>
    <w:p w14:paraId="5F6D854D" w14:textId="77777777" w:rsidR="00875BC3" w:rsidRDefault="00875BC3"/>
    <w:p w14:paraId="079FB44A" w14:textId="77777777" w:rsidR="00875BC3" w:rsidRPr="009B6F33" w:rsidRDefault="007918C5">
      <w:pPr>
        <w:rPr>
          <w:rFonts w:ascii="Cambria" w:hAnsi="Cambria"/>
        </w:rPr>
      </w:pPr>
      <w:r w:rsidRPr="009B6F33">
        <w:rPr>
          <w:rFonts w:ascii="Cambria" w:hAnsi="Cambria"/>
        </w:rPr>
        <w:t>Powell-Division households are likely to be transit-dependent (at least somewhat), and are already significantly pressured by housing prices. The corridor is perhaps 18,000 rental units short of adequate affordab</w:t>
      </w:r>
      <w:bookmarkStart w:id="0" w:name="_GoBack"/>
      <w:bookmarkEnd w:id="0"/>
      <w:r w:rsidRPr="009B6F33">
        <w:rPr>
          <w:rFonts w:ascii="Cambria" w:hAnsi="Cambria"/>
        </w:rPr>
        <w:t>le housing stock. We are able to segment by income groups to see that households making 30-50% of area median family income are the most housing cost-burdened, and rental units affordable to that income range are likely to be leased by higher income households. (further illustrated by the relatively lower rates of cost-burden for households earning 50-80% of area median income). This suggests some strategies for alleviating housing supply pressures at these income ranges, as well as the households at most risk for displacement if prices rise with new investments in transit.</w:t>
      </w:r>
      <w:r w:rsidR="006C21BB" w:rsidRPr="009B6F33">
        <w:rPr>
          <w:rStyle w:val="FootnoteReference"/>
          <w:rFonts w:ascii="Cambria" w:hAnsi="Cambria"/>
        </w:rPr>
        <w:footnoteReference w:id="1"/>
      </w:r>
    </w:p>
    <w:p w14:paraId="14D44225" w14:textId="77777777" w:rsidR="00875BC3" w:rsidRPr="009B6F33" w:rsidRDefault="00875BC3">
      <w:pPr>
        <w:rPr>
          <w:rFonts w:ascii="Cambria" w:hAnsi="Cambria"/>
        </w:rPr>
      </w:pPr>
    </w:p>
    <w:p w14:paraId="2DFA2EF4" w14:textId="5ABCE1BF" w:rsidR="00875BC3" w:rsidRPr="009B6F33" w:rsidRDefault="007918C5">
      <w:pPr>
        <w:rPr>
          <w:rFonts w:ascii="Cambria" w:hAnsi="Cambria"/>
        </w:rPr>
      </w:pPr>
      <w:r w:rsidRPr="009B6F33">
        <w:rPr>
          <w:rFonts w:ascii="Cambria" w:hAnsi="Cambria"/>
        </w:rPr>
        <w:t>At the same time, the rental housing stock alo</w:t>
      </w:r>
      <w:r w:rsidR="009B6F33">
        <w:rPr>
          <w:rFonts w:ascii="Cambria" w:hAnsi="Cambria"/>
        </w:rPr>
        <w:t xml:space="preserve">ng the corridor is “precarious”—a </w:t>
      </w:r>
      <w:r w:rsidRPr="009B6F33">
        <w:rPr>
          <w:rFonts w:ascii="Cambria" w:hAnsi="Cambria"/>
        </w:rPr>
        <w:t>term used to mean at risk of conversion, demolition, or serious deterioration. Many housing units are already in poor condition. Over the past 5 years, there have been 50 buildings (with over 1,300 units) sold. These buildings were overwhelmingly “2 star” rated (just above obsolete) and had moderate and low rents. Most were small buildings (under 10 units). We will continue to analyze sales, for sale properties, and new construction data and add interview data with property owners and managers to assess likelihood of sale and conversion of existing affordable units.</w:t>
      </w:r>
    </w:p>
    <w:p w14:paraId="71E8123E" w14:textId="77777777" w:rsidR="00875BC3" w:rsidRDefault="00875BC3"/>
    <w:p w14:paraId="6F10B8ED" w14:textId="77777777" w:rsidR="00875BC3" w:rsidRDefault="00875BC3"/>
    <w:p w14:paraId="43B76138" w14:textId="77777777" w:rsidR="008224B9" w:rsidRDefault="008224B9">
      <w:pPr>
        <w:rPr>
          <w:rFonts w:ascii="Cambria" w:hAnsi="Cambria"/>
          <w:b/>
          <w:i/>
        </w:rPr>
      </w:pPr>
      <w:r>
        <w:rPr>
          <w:rFonts w:ascii="Cambria" w:hAnsi="Cambria"/>
          <w:b/>
          <w:i/>
        </w:rPr>
        <w:br w:type="page"/>
      </w:r>
    </w:p>
    <w:p w14:paraId="6F934538" w14:textId="0350897E" w:rsidR="00875BC3" w:rsidRPr="008224B9" w:rsidRDefault="007918C5">
      <w:pPr>
        <w:rPr>
          <w:rFonts w:ascii="Cambria" w:hAnsi="Cambria"/>
          <w:b/>
          <w:i/>
        </w:rPr>
      </w:pPr>
      <w:r w:rsidRPr="008224B9">
        <w:rPr>
          <w:rFonts w:ascii="Cambria" w:hAnsi="Cambria"/>
          <w:b/>
          <w:i/>
        </w:rPr>
        <w:lastRenderedPageBreak/>
        <w:t>Reference: Geographic Units</w:t>
      </w:r>
    </w:p>
    <w:p w14:paraId="7FD36F8C" w14:textId="77777777" w:rsidR="00875BC3" w:rsidRDefault="00875BC3"/>
    <w:p w14:paraId="6D6B57F3" w14:textId="29678470" w:rsidR="00875BC3" w:rsidRPr="009B6F33" w:rsidRDefault="007918C5">
      <w:pPr>
        <w:rPr>
          <w:rFonts w:ascii="Cambria" w:hAnsi="Cambria"/>
        </w:rPr>
      </w:pPr>
      <w:r w:rsidRPr="009B6F33">
        <w:rPr>
          <w:rFonts w:ascii="Cambria" w:hAnsi="Cambria"/>
        </w:rPr>
        <w:t>The geographic segments used in the analysis are followed by the report from the Metro (</w:t>
      </w:r>
      <w:hyperlink r:id="rId7">
        <w:r w:rsidRPr="009B6F33">
          <w:rPr>
            <w:rFonts w:ascii="Cambria" w:hAnsi="Cambria"/>
            <w:color w:val="1155CC"/>
            <w:u w:val="single"/>
          </w:rPr>
          <w:t>Powell-Division Transit and Development Project Opportunities &amp; Constraints</w:t>
        </w:r>
      </w:hyperlink>
      <w:r w:rsidRPr="009B6F33">
        <w:rPr>
          <w:rFonts w:ascii="Cambria" w:hAnsi="Cambria"/>
        </w:rPr>
        <w:t>, 2014). While the segments from the report were originally 8 segments, this analysis employed an aggregated segments using the original one from the report in order to better align with the Census Tract boundaries.</w:t>
      </w:r>
    </w:p>
    <w:p w14:paraId="4A19FC7D" w14:textId="77777777" w:rsidR="00875BC3" w:rsidRDefault="00875BC3"/>
    <w:p w14:paraId="61F820F3" w14:textId="77777777" w:rsidR="00875BC3" w:rsidRDefault="007918C5">
      <w:r>
        <w:rPr>
          <w:noProof/>
        </w:rPr>
        <w:drawing>
          <wp:inline distT="114300" distB="114300" distL="114300" distR="114300" wp14:anchorId="5ED8D380" wp14:editId="3F36AD17">
            <wp:extent cx="4924425" cy="1219200"/>
            <wp:effectExtent l="0" t="0" r="9525"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4924425" cy="1219200"/>
                    </a:xfrm>
                    <a:prstGeom prst="rect">
                      <a:avLst/>
                    </a:prstGeom>
                    <a:ln/>
                  </pic:spPr>
                </pic:pic>
              </a:graphicData>
            </a:graphic>
          </wp:inline>
        </w:drawing>
      </w:r>
    </w:p>
    <w:p w14:paraId="0714E671" w14:textId="77777777" w:rsidR="00875BC3" w:rsidRPr="009B6F33" w:rsidRDefault="007918C5">
      <w:pPr>
        <w:rPr>
          <w:rFonts w:ascii="Cambria" w:hAnsi="Cambria"/>
          <w:sz w:val="20"/>
          <w:szCs w:val="20"/>
        </w:rPr>
      </w:pPr>
      <w:r w:rsidRPr="008224B9">
        <w:rPr>
          <w:sz w:val="16"/>
          <w:szCs w:val="18"/>
        </w:rPr>
        <w:t>Figure 1. Original proposed segments along the corridor by Metro (2014)</w:t>
      </w:r>
      <w:r w:rsidRPr="008224B9">
        <w:rPr>
          <w:sz w:val="16"/>
          <w:szCs w:val="18"/>
        </w:rPr>
        <w:br/>
      </w:r>
    </w:p>
    <w:p w14:paraId="47D94090" w14:textId="77777777" w:rsidR="00875BC3" w:rsidRDefault="007918C5">
      <w:r>
        <w:rPr>
          <w:noProof/>
        </w:rPr>
        <w:drawing>
          <wp:inline distT="114300" distB="114300" distL="114300" distR="114300" wp14:anchorId="2F9B3229" wp14:editId="6FE00A76">
            <wp:extent cx="4019550" cy="9906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4019550" cy="990600"/>
                    </a:xfrm>
                    <a:prstGeom prst="rect">
                      <a:avLst/>
                    </a:prstGeom>
                    <a:ln/>
                  </pic:spPr>
                </pic:pic>
              </a:graphicData>
            </a:graphic>
          </wp:inline>
        </w:drawing>
      </w:r>
    </w:p>
    <w:p w14:paraId="748EA109" w14:textId="77777777" w:rsidR="00875BC3" w:rsidRPr="008224B9" w:rsidRDefault="007918C5">
      <w:pPr>
        <w:rPr>
          <w:sz w:val="16"/>
          <w:szCs w:val="18"/>
        </w:rPr>
      </w:pPr>
      <w:r w:rsidRPr="008224B9">
        <w:rPr>
          <w:sz w:val="16"/>
          <w:szCs w:val="18"/>
        </w:rPr>
        <w:t>Figure 2. Segments along the corridor in the analysis</w:t>
      </w:r>
    </w:p>
    <w:p w14:paraId="1EC4D679" w14:textId="77777777" w:rsidR="00875BC3" w:rsidRDefault="007918C5">
      <w:r>
        <w:t xml:space="preserve"> </w:t>
      </w:r>
    </w:p>
    <w:p w14:paraId="0064B1B5" w14:textId="77777777" w:rsidR="00875BC3" w:rsidRPr="009B6F33" w:rsidRDefault="007918C5">
      <w:pPr>
        <w:rPr>
          <w:rFonts w:ascii="Cambria" w:hAnsi="Cambria"/>
        </w:rPr>
      </w:pPr>
      <w:r w:rsidRPr="009B6F33">
        <w:rPr>
          <w:rFonts w:ascii="Cambria" w:hAnsi="Cambria"/>
        </w:rPr>
        <w:t>Central East Portland: Central Eastside to 82nd Ave</w:t>
      </w:r>
    </w:p>
    <w:p w14:paraId="320226C0" w14:textId="77777777" w:rsidR="00875BC3" w:rsidRPr="009B6F33" w:rsidRDefault="007918C5">
      <w:pPr>
        <w:rPr>
          <w:rFonts w:ascii="Cambria" w:hAnsi="Cambria"/>
        </w:rPr>
      </w:pPr>
      <w:r w:rsidRPr="009B6F33">
        <w:rPr>
          <w:rFonts w:ascii="Cambria" w:hAnsi="Cambria"/>
        </w:rPr>
        <w:t>East Portland: 82nd to Gresham (182nd Ave)</w:t>
      </w:r>
    </w:p>
    <w:p w14:paraId="17955DDC" w14:textId="77777777" w:rsidR="00875BC3" w:rsidRPr="009B6F33" w:rsidRDefault="007918C5">
      <w:pPr>
        <w:rPr>
          <w:rFonts w:ascii="Cambria" w:hAnsi="Cambria"/>
        </w:rPr>
      </w:pPr>
      <w:r w:rsidRPr="009B6F33">
        <w:rPr>
          <w:rFonts w:ascii="Cambria" w:hAnsi="Cambria"/>
        </w:rPr>
        <w:t xml:space="preserve">Gresham West: 182nd Ave to the end of the corridor (Gresham) </w:t>
      </w:r>
    </w:p>
    <w:p w14:paraId="583E7512" w14:textId="77777777" w:rsidR="00875BC3" w:rsidRDefault="007918C5">
      <w:r>
        <w:br w:type="page"/>
      </w:r>
    </w:p>
    <w:p w14:paraId="6F1E1D8F" w14:textId="77777777" w:rsidR="00875BC3" w:rsidRDefault="00875BC3"/>
    <w:p w14:paraId="7160F7F9" w14:textId="77777777" w:rsidR="00875BC3" w:rsidRPr="009B6F33" w:rsidRDefault="007918C5">
      <w:pPr>
        <w:rPr>
          <w:rFonts w:ascii="Cambria" w:hAnsi="Cambria"/>
          <w:b/>
        </w:rPr>
      </w:pPr>
      <w:r w:rsidRPr="009B6F33">
        <w:rPr>
          <w:rFonts w:ascii="Cambria" w:hAnsi="Cambria"/>
          <w:b/>
        </w:rPr>
        <w:t>Snapshots: Vulnerability, Precarious Housing, Cost Burden and Housing Mismatch</w:t>
      </w:r>
    </w:p>
    <w:p w14:paraId="30160392" w14:textId="77777777" w:rsidR="00875BC3" w:rsidRDefault="00875BC3"/>
    <w:p w14:paraId="5793B21B" w14:textId="77777777" w:rsidR="00875BC3" w:rsidRDefault="00875BC3">
      <w:pPr>
        <w:spacing w:line="256" w:lineRule="auto"/>
      </w:pPr>
    </w:p>
    <w:p w14:paraId="5824AD3E" w14:textId="77777777" w:rsidR="00875BC3" w:rsidRPr="009B6F33" w:rsidRDefault="007918C5">
      <w:pPr>
        <w:rPr>
          <w:rFonts w:ascii="Cambria" w:hAnsi="Cambria"/>
          <w:b/>
        </w:rPr>
      </w:pPr>
      <w:r w:rsidRPr="009B6F33">
        <w:rPr>
          <w:rFonts w:ascii="Cambria" w:hAnsi="Cambria"/>
          <w:b/>
        </w:rPr>
        <w:t>1) Vulnerability</w:t>
      </w:r>
    </w:p>
    <w:p w14:paraId="121711E5" w14:textId="77777777" w:rsidR="00875BC3" w:rsidRDefault="00875BC3"/>
    <w:p w14:paraId="1A164706" w14:textId="77777777" w:rsidR="00875BC3" w:rsidRDefault="007918C5">
      <w:pPr>
        <w:rPr>
          <w:rFonts w:ascii="Cambria" w:hAnsi="Cambria"/>
        </w:rPr>
      </w:pPr>
      <w:r w:rsidRPr="009B6F33">
        <w:rPr>
          <w:rFonts w:ascii="Cambria" w:hAnsi="Cambria"/>
        </w:rPr>
        <w:t xml:space="preserve">Vulnerable households are clustered past E. 82nd Ave. The close-in section of the transit corridor does not look markedly different from the rest of Portland, but East Portland and Gresham sections have more vulnerable populations than Portland-Multnomah County as a whole. </w:t>
      </w:r>
    </w:p>
    <w:p w14:paraId="5E6052BE" w14:textId="77777777" w:rsidR="009B6F33" w:rsidRPr="009B6F33" w:rsidRDefault="009B6F33">
      <w:pPr>
        <w:rPr>
          <w:rFonts w:ascii="Cambria" w:hAnsi="Cambria"/>
        </w:rPr>
      </w:pPr>
    </w:p>
    <w:p w14:paraId="63AF79EF" w14:textId="77777777" w:rsidR="00875BC3" w:rsidRPr="009B6F33" w:rsidRDefault="007918C5">
      <w:pPr>
        <w:rPr>
          <w:rFonts w:ascii="Cambria" w:hAnsi="Cambria"/>
        </w:rPr>
      </w:pPr>
      <w:r w:rsidRPr="009B6F33">
        <w:rPr>
          <w:rFonts w:ascii="Cambria" w:hAnsi="Cambria"/>
        </w:rPr>
        <w:t>These neighborhoods of lower-cost housing include substantial populations we expect to be transit-dependent or transit-using.</w:t>
      </w:r>
    </w:p>
    <w:p w14:paraId="5DE5ADF9" w14:textId="77777777" w:rsidR="00875BC3" w:rsidRDefault="007918C5">
      <w: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5"/>
        <w:gridCol w:w="1440"/>
        <w:gridCol w:w="1185"/>
        <w:gridCol w:w="1200"/>
        <w:gridCol w:w="1185"/>
        <w:gridCol w:w="1185"/>
        <w:gridCol w:w="1230"/>
      </w:tblGrid>
      <w:tr w:rsidR="00875BC3" w14:paraId="7F9511B8" w14:textId="77777777">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015BA" w14:textId="77777777" w:rsidR="00875BC3" w:rsidRDefault="007918C5">
            <w:pPr>
              <w:jc w:val="center"/>
            </w:pPr>
            <w:r>
              <w:t xml:space="preserve"> </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5E6C77" w14:textId="77777777" w:rsidR="00875BC3" w:rsidRDefault="007918C5">
            <w:pPr>
              <w:jc w:val="center"/>
            </w:pPr>
            <w:r>
              <w:rPr>
                <w:b/>
              </w:rPr>
              <w:t>Multnomah</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7400A7" w14:textId="77777777" w:rsidR="00875BC3" w:rsidRDefault="007918C5">
            <w:pPr>
              <w:jc w:val="center"/>
            </w:pPr>
            <w:r>
              <w:rPr>
                <w:b/>
              </w:rPr>
              <w:t>Portland</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49BDF7" w14:textId="77777777" w:rsidR="00875BC3" w:rsidRDefault="007918C5">
            <w:pPr>
              <w:jc w:val="center"/>
            </w:pPr>
            <w:r>
              <w:rPr>
                <w:b/>
              </w:rPr>
              <w:t>Corridor</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098885" w14:textId="77777777" w:rsidR="00875BC3" w:rsidRDefault="007918C5">
            <w:pPr>
              <w:jc w:val="center"/>
            </w:pPr>
            <w:r>
              <w:rPr>
                <w:b/>
              </w:rPr>
              <w:t>Central Eastside</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C71D5A" w14:textId="77777777" w:rsidR="00875BC3" w:rsidRDefault="007918C5">
            <w:pPr>
              <w:jc w:val="center"/>
            </w:pPr>
            <w:r>
              <w:rPr>
                <w:b/>
              </w:rPr>
              <w:t>East Portland</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BDC0A9" w14:textId="77777777" w:rsidR="00875BC3" w:rsidRDefault="007918C5">
            <w:pPr>
              <w:jc w:val="center"/>
            </w:pPr>
            <w:r>
              <w:rPr>
                <w:b/>
              </w:rPr>
              <w:t>Gresham West</w:t>
            </w:r>
          </w:p>
        </w:tc>
      </w:tr>
      <w:tr w:rsidR="00875BC3" w14:paraId="7AA7D8D9" w14:textId="77777777">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D5C9A4" w14:textId="77777777" w:rsidR="00875BC3" w:rsidRDefault="007918C5">
            <w:r>
              <w:t>Educational Attainment</w:t>
            </w:r>
          </w:p>
        </w:tc>
        <w:tc>
          <w:tcPr>
            <w:tcW w:w="1440" w:type="dxa"/>
            <w:tcBorders>
              <w:bottom w:val="single" w:sz="8" w:space="0" w:color="000000"/>
              <w:right w:val="single" w:sz="8" w:space="0" w:color="000000"/>
            </w:tcBorders>
            <w:tcMar>
              <w:top w:w="100" w:type="dxa"/>
              <w:left w:w="100" w:type="dxa"/>
              <w:bottom w:w="100" w:type="dxa"/>
              <w:right w:w="100" w:type="dxa"/>
            </w:tcMar>
          </w:tcPr>
          <w:p w14:paraId="68A54D8D" w14:textId="77777777" w:rsidR="00875BC3" w:rsidRDefault="007918C5">
            <w:pPr>
              <w:jc w:val="center"/>
            </w:pPr>
            <w:r>
              <w:rPr>
                <w:sz w:val="20"/>
                <w:szCs w:val="20"/>
              </w:rPr>
              <w:t>40.3%</w:t>
            </w:r>
          </w:p>
        </w:tc>
        <w:tc>
          <w:tcPr>
            <w:tcW w:w="1185" w:type="dxa"/>
            <w:tcBorders>
              <w:bottom w:val="single" w:sz="8" w:space="0" w:color="000000"/>
              <w:right w:val="single" w:sz="8" w:space="0" w:color="000000"/>
            </w:tcBorders>
            <w:tcMar>
              <w:top w:w="100" w:type="dxa"/>
              <w:left w:w="100" w:type="dxa"/>
              <w:bottom w:w="100" w:type="dxa"/>
              <w:right w:w="100" w:type="dxa"/>
            </w:tcMar>
          </w:tcPr>
          <w:p w14:paraId="289D042C" w14:textId="77777777" w:rsidR="00875BC3" w:rsidRDefault="007918C5">
            <w:pPr>
              <w:jc w:val="center"/>
            </w:pPr>
            <w:r>
              <w:rPr>
                <w:sz w:val="20"/>
                <w:szCs w:val="20"/>
              </w:rPr>
              <w:t>44.4%</w:t>
            </w:r>
          </w:p>
        </w:tc>
        <w:tc>
          <w:tcPr>
            <w:tcW w:w="1200" w:type="dxa"/>
            <w:tcBorders>
              <w:bottom w:val="single" w:sz="8" w:space="0" w:color="000000"/>
              <w:right w:val="single" w:sz="8" w:space="0" w:color="000000"/>
            </w:tcBorders>
            <w:tcMar>
              <w:top w:w="100" w:type="dxa"/>
              <w:left w:w="100" w:type="dxa"/>
              <w:bottom w:w="100" w:type="dxa"/>
              <w:right w:w="100" w:type="dxa"/>
            </w:tcMar>
          </w:tcPr>
          <w:p w14:paraId="2AB5DFAE" w14:textId="77777777" w:rsidR="00875BC3" w:rsidRDefault="007918C5">
            <w:pPr>
              <w:jc w:val="center"/>
            </w:pPr>
            <w:r>
              <w:rPr>
                <w:sz w:val="20"/>
                <w:szCs w:val="20"/>
              </w:rPr>
              <w:t>24.3%</w:t>
            </w:r>
          </w:p>
        </w:tc>
        <w:tc>
          <w:tcPr>
            <w:tcW w:w="1185" w:type="dxa"/>
            <w:tcBorders>
              <w:bottom w:val="single" w:sz="8" w:space="0" w:color="000000"/>
              <w:right w:val="single" w:sz="8" w:space="0" w:color="000000"/>
            </w:tcBorders>
            <w:tcMar>
              <w:top w:w="100" w:type="dxa"/>
              <w:left w:w="100" w:type="dxa"/>
              <w:bottom w:w="100" w:type="dxa"/>
              <w:right w:w="100" w:type="dxa"/>
            </w:tcMar>
          </w:tcPr>
          <w:p w14:paraId="1E52EBEE" w14:textId="77777777" w:rsidR="00875BC3" w:rsidRDefault="007918C5">
            <w:pPr>
              <w:jc w:val="center"/>
            </w:pPr>
            <w:r>
              <w:rPr>
                <w:sz w:val="20"/>
                <w:szCs w:val="20"/>
              </w:rPr>
              <w:t>45.5%</w:t>
            </w:r>
          </w:p>
        </w:tc>
        <w:tc>
          <w:tcPr>
            <w:tcW w:w="1185" w:type="dxa"/>
            <w:tcBorders>
              <w:bottom w:val="single" w:sz="8" w:space="0" w:color="000000"/>
              <w:right w:val="single" w:sz="8" w:space="0" w:color="000000"/>
            </w:tcBorders>
            <w:tcMar>
              <w:top w:w="100" w:type="dxa"/>
              <w:left w:w="100" w:type="dxa"/>
              <w:bottom w:w="100" w:type="dxa"/>
              <w:right w:w="100" w:type="dxa"/>
            </w:tcMar>
          </w:tcPr>
          <w:p w14:paraId="6E31DB81" w14:textId="77777777" w:rsidR="00875BC3" w:rsidRDefault="007918C5">
            <w:pPr>
              <w:jc w:val="center"/>
            </w:pPr>
            <w:r>
              <w:rPr>
                <w:sz w:val="20"/>
                <w:szCs w:val="20"/>
              </w:rPr>
              <w:t>15.7%</w:t>
            </w:r>
          </w:p>
        </w:tc>
        <w:tc>
          <w:tcPr>
            <w:tcW w:w="1230" w:type="dxa"/>
            <w:tcBorders>
              <w:bottom w:val="single" w:sz="8" w:space="0" w:color="000000"/>
              <w:right w:val="single" w:sz="8" w:space="0" w:color="000000"/>
            </w:tcBorders>
            <w:tcMar>
              <w:top w:w="100" w:type="dxa"/>
              <w:left w:w="100" w:type="dxa"/>
              <w:bottom w:w="100" w:type="dxa"/>
              <w:right w:w="100" w:type="dxa"/>
            </w:tcMar>
          </w:tcPr>
          <w:p w14:paraId="09BEE019" w14:textId="77777777" w:rsidR="00875BC3" w:rsidRDefault="007918C5">
            <w:pPr>
              <w:jc w:val="center"/>
            </w:pPr>
            <w:r>
              <w:rPr>
                <w:sz w:val="20"/>
                <w:szCs w:val="20"/>
              </w:rPr>
              <w:t>17.8%</w:t>
            </w:r>
          </w:p>
        </w:tc>
      </w:tr>
      <w:tr w:rsidR="00875BC3" w14:paraId="3CF540F6" w14:textId="77777777">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6FEC3" w14:textId="77777777" w:rsidR="00875BC3" w:rsidRDefault="007918C5">
            <w:r>
              <w:t>Median Income</w:t>
            </w:r>
          </w:p>
        </w:tc>
        <w:tc>
          <w:tcPr>
            <w:tcW w:w="1440" w:type="dxa"/>
            <w:tcBorders>
              <w:bottom w:val="single" w:sz="8" w:space="0" w:color="000000"/>
              <w:right w:val="single" w:sz="8" w:space="0" w:color="000000"/>
            </w:tcBorders>
            <w:tcMar>
              <w:top w:w="100" w:type="dxa"/>
              <w:left w:w="100" w:type="dxa"/>
              <w:bottom w:w="100" w:type="dxa"/>
              <w:right w:w="100" w:type="dxa"/>
            </w:tcMar>
          </w:tcPr>
          <w:p w14:paraId="1CD8311F" w14:textId="77777777" w:rsidR="00875BC3" w:rsidRDefault="007918C5">
            <w:pPr>
              <w:jc w:val="center"/>
            </w:pPr>
            <w:r>
              <w:rPr>
                <w:sz w:val="20"/>
                <w:szCs w:val="20"/>
              </w:rPr>
              <w:t>52,845</w:t>
            </w:r>
          </w:p>
        </w:tc>
        <w:tc>
          <w:tcPr>
            <w:tcW w:w="1185" w:type="dxa"/>
            <w:tcBorders>
              <w:bottom w:val="single" w:sz="8" w:space="0" w:color="000000"/>
              <w:right w:val="single" w:sz="8" w:space="0" w:color="000000"/>
            </w:tcBorders>
            <w:tcMar>
              <w:top w:w="100" w:type="dxa"/>
              <w:left w:w="100" w:type="dxa"/>
              <w:bottom w:w="100" w:type="dxa"/>
              <w:right w:w="100" w:type="dxa"/>
            </w:tcMar>
          </w:tcPr>
          <w:p w14:paraId="2CE1212B" w14:textId="77777777" w:rsidR="00875BC3" w:rsidRDefault="007918C5">
            <w:pPr>
              <w:jc w:val="center"/>
            </w:pPr>
            <w:r>
              <w:rPr>
                <w:sz w:val="20"/>
                <w:szCs w:val="20"/>
              </w:rPr>
              <w:t>53,230</w:t>
            </w:r>
          </w:p>
        </w:tc>
        <w:tc>
          <w:tcPr>
            <w:tcW w:w="1200" w:type="dxa"/>
            <w:tcBorders>
              <w:bottom w:val="single" w:sz="8" w:space="0" w:color="000000"/>
              <w:right w:val="single" w:sz="8" w:space="0" w:color="000000"/>
            </w:tcBorders>
            <w:tcMar>
              <w:top w:w="100" w:type="dxa"/>
              <w:left w:w="100" w:type="dxa"/>
              <w:bottom w:w="100" w:type="dxa"/>
              <w:right w:w="100" w:type="dxa"/>
            </w:tcMar>
          </w:tcPr>
          <w:p w14:paraId="53C23D38" w14:textId="77777777" w:rsidR="00875BC3" w:rsidRDefault="007918C5">
            <w:pPr>
              <w:jc w:val="center"/>
            </w:pPr>
            <w:r>
              <w:rPr>
                <w:sz w:val="20"/>
                <w:szCs w:val="20"/>
              </w:rPr>
              <w:t>43,574</w:t>
            </w:r>
          </w:p>
          <w:p w14:paraId="5DB37BF0" w14:textId="77777777" w:rsidR="00875BC3" w:rsidRDefault="007918C5">
            <w:pPr>
              <w:jc w:val="center"/>
            </w:pPr>
            <w:r>
              <w:rPr>
                <w:sz w:val="20"/>
                <w:szCs w:val="20"/>
              </w:rPr>
              <w:t>(82.5%)</w:t>
            </w:r>
          </w:p>
        </w:tc>
        <w:tc>
          <w:tcPr>
            <w:tcW w:w="1185" w:type="dxa"/>
            <w:tcBorders>
              <w:bottom w:val="single" w:sz="8" w:space="0" w:color="000000"/>
              <w:right w:val="single" w:sz="8" w:space="0" w:color="000000"/>
            </w:tcBorders>
            <w:tcMar>
              <w:top w:w="100" w:type="dxa"/>
              <w:left w:w="100" w:type="dxa"/>
              <w:bottom w:w="100" w:type="dxa"/>
              <w:right w:w="100" w:type="dxa"/>
            </w:tcMar>
          </w:tcPr>
          <w:p w14:paraId="49A683EC" w14:textId="77777777" w:rsidR="00875BC3" w:rsidRDefault="007918C5">
            <w:pPr>
              <w:jc w:val="center"/>
            </w:pPr>
            <w:r>
              <w:rPr>
                <w:sz w:val="20"/>
                <w:szCs w:val="20"/>
              </w:rPr>
              <w:t>54,190</w:t>
            </w:r>
          </w:p>
          <w:p w14:paraId="141FD77E" w14:textId="77777777" w:rsidR="00875BC3" w:rsidRDefault="007918C5">
            <w:pPr>
              <w:jc w:val="center"/>
            </w:pPr>
            <w:r>
              <w:rPr>
                <w:sz w:val="20"/>
                <w:szCs w:val="20"/>
              </w:rPr>
              <w:t>(102.5%)</w:t>
            </w:r>
          </w:p>
        </w:tc>
        <w:tc>
          <w:tcPr>
            <w:tcW w:w="1185" w:type="dxa"/>
            <w:tcBorders>
              <w:bottom w:val="single" w:sz="8" w:space="0" w:color="000000"/>
              <w:right w:val="single" w:sz="8" w:space="0" w:color="000000"/>
            </w:tcBorders>
            <w:tcMar>
              <w:top w:w="100" w:type="dxa"/>
              <w:left w:w="100" w:type="dxa"/>
              <w:bottom w:w="100" w:type="dxa"/>
              <w:right w:w="100" w:type="dxa"/>
            </w:tcMar>
          </w:tcPr>
          <w:p w14:paraId="249ABFB0" w14:textId="77777777" w:rsidR="00875BC3" w:rsidRDefault="007918C5">
            <w:pPr>
              <w:jc w:val="center"/>
            </w:pPr>
            <w:r>
              <w:rPr>
                <w:sz w:val="20"/>
                <w:szCs w:val="20"/>
              </w:rPr>
              <w:t>38,083</w:t>
            </w:r>
          </w:p>
          <w:p w14:paraId="5FB87E47" w14:textId="77777777" w:rsidR="00875BC3" w:rsidRDefault="007918C5">
            <w:pPr>
              <w:jc w:val="center"/>
            </w:pPr>
            <w:r>
              <w:rPr>
                <w:sz w:val="20"/>
                <w:szCs w:val="20"/>
              </w:rPr>
              <w:t>(72.1%)</w:t>
            </w:r>
          </w:p>
        </w:tc>
        <w:tc>
          <w:tcPr>
            <w:tcW w:w="1230" w:type="dxa"/>
            <w:tcBorders>
              <w:bottom w:val="single" w:sz="8" w:space="0" w:color="000000"/>
              <w:right w:val="single" w:sz="8" w:space="0" w:color="000000"/>
            </w:tcBorders>
            <w:tcMar>
              <w:top w:w="100" w:type="dxa"/>
              <w:left w:w="100" w:type="dxa"/>
              <w:bottom w:w="100" w:type="dxa"/>
              <w:right w:w="100" w:type="dxa"/>
            </w:tcMar>
          </w:tcPr>
          <w:p w14:paraId="43D1649A" w14:textId="77777777" w:rsidR="00875BC3" w:rsidRDefault="007918C5">
            <w:pPr>
              <w:jc w:val="center"/>
            </w:pPr>
            <w:r>
              <w:rPr>
                <w:sz w:val="20"/>
                <w:szCs w:val="20"/>
              </w:rPr>
              <w:t>42,423</w:t>
            </w:r>
          </w:p>
          <w:p w14:paraId="530D369F" w14:textId="77777777" w:rsidR="00875BC3" w:rsidRDefault="007918C5">
            <w:pPr>
              <w:jc w:val="center"/>
            </w:pPr>
            <w:r>
              <w:rPr>
                <w:sz w:val="20"/>
                <w:szCs w:val="20"/>
              </w:rPr>
              <w:t>(80.3%)</w:t>
            </w:r>
          </w:p>
        </w:tc>
      </w:tr>
      <w:tr w:rsidR="00875BC3" w14:paraId="271BC8FC" w14:textId="77777777">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9F6FC" w14:textId="77777777" w:rsidR="00875BC3" w:rsidRDefault="007918C5">
            <w:r>
              <w:t>People with Disabilities</w:t>
            </w:r>
          </w:p>
        </w:tc>
        <w:tc>
          <w:tcPr>
            <w:tcW w:w="1440" w:type="dxa"/>
            <w:tcBorders>
              <w:bottom w:val="single" w:sz="8" w:space="0" w:color="000000"/>
              <w:right w:val="single" w:sz="8" w:space="0" w:color="000000"/>
            </w:tcBorders>
            <w:tcMar>
              <w:top w:w="100" w:type="dxa"/>
              <w:left w:w="100" w:type="dxa"/>
              <w:bottom w:w="100" w:type="dxa"/>
              <w:right w:w="100" w:type="dxa"/>
            </w:tcMar>
          </w:tcPr>
          <w:p w14:paraId="0A14DE51" w14:textId="77777777" w:rsidR="00875BC3" w:rsidRDefault="007918C5">
            <w:pPr>
              <w:jc w:val="center"/>
            </w:pPr>
            <w:r>
              <w:rPr>
                <w:sz w:val="20"/>
                <w:szCs w:val="20"/>
              </w:rPr>
              <w:t>12.6%</w:t>
            </w:r>
          </w:p>
        </w:tc>
        <w:tc>
          <w:tcPr>
            <w:tcW w:w="1185" w:type="dxa"/>
            <w:tcBorders>
              <w:bottom w:val="single" w:sz="8" w:space="0" w:color="000000"/>
              <w:right w:val="single" w:sz="8" w:space="0" w:color="000000"/>
            </w:tcBorders>
            <w:tcMar>
              <w:top w:w="100" w:type="dxa"/>
              <w:left w:w="100" w:type="dxa"/>
              <w:bottom w:w="100" w:type="dxa"/>
              <w:right w:w="100" w:type="dxa"/>
            </w:tcMar>
          </w:tcPr>
          <w:p w14:paraId="5DA188D0" w14:textId="77777777" w:rsidR="00875BC3" w:rsidRDefault="007918C5">
            <w:pPr>
              <w:jc w:val="center"/>
            </w:pPr>
            <w:r>
              <w:rPr>
                <w:sz w:val="20"/>
                <w:szCs w:val="20"/>
              </w:rPr>
              <w:t>12.1%</w:t>
            </w:r>
          </w:p>
        </w:tc>
        <w:tc>
          <w:tcPr>
            <w:tcW w:w="1200" w:type="dxa"/>
            <w:tcBorders>
              <w:bottom w:val="single" w:sz="8" w:space="0" w:color="000000"/>
              <w:right w:val="single" w:sz="8" w:space="0" w:color="000000"/>
            </w:tcBorders>
            <w:tcMar>
              <w:top w:w="100" w:type="dxa"/>
              <w:left w:w="100" w:type="dxa"/>
              <w:bottom w:w="100" w:type="dxa"/>
              <w:right w:w="100" w:type="dxa"/>
            </w:tcMar>
          </w:tcPr>
          <w:p w14:paraId="190A8708" w14:textId="77777777" w:rsidR="00875BC3" w:rsidRDefault="007918C5">
            <w:pPr>
              <w:jc w:val="center"/>
            </w:pPr>
            <w:r>
              <w:rPr>
                <w:sz w:val="20"/>
                <w:szCs w:val="20"/>
              </w:rPr>
              <w:t>14.6%</w:t>
            </w:r>
          </w:p>
        </w:tc>
        <w:tc>
          <w:tcPr>
            <w:tcW w:w="1185" w:type="dxa"/>
            <w:tcBorders>
              <w:bottom w:val="single" w:sz="8" w:space="0" w:color="000000"/>
              <w:right w:val="single" w:sz="8" w:space="0" w:color="000000"/>
            </w:tcBorders>
            <w:tcMar>
              <w:top w:w="100" w:type="dxa"/>
              <w:left w:w="100" w:type="dxa"/>
              <w:bottom w:w="100" w:type="dxa"/>
              <w:right w:w="100" w:type="dxa"/>
            </w:tcMar>
          </w:tcPr>
          <w:p w14:paraId="43EAEDDC" w14:textId="77777777" w:rsidR="00875BC3" w:rsidRDefault="007918C5">
            <w:pPr>
              <w:jc w:val="center"/>
            </w:pPr>
            <w:r>
              <w:rPr>
                <w:sz w:val="20"/>
                <w:szCs w:val="20"/>
              </w:rPr>
              <w:t>11.5%</w:t>
            </w:r>
          </w:p>
        </w:tc>
        <w:tc>
          <w:tcPr>
            <w:tcW w:w="1185" w:type="dxa"/>
            <w:tcBorders>
              <w:bottom w:val="single" w:sz="8" w:space="0" w:color="000000"/>
              <w:right w:val="single" w:sz="8" w:space="0" w:color="000000"/>
            </w:tcBorders>
            <w:tcMar>
              <w:top w:w="100" w:type="dxa"/>
              <w:left w:w="100" w:type="dxa"/>
              <w:bottom w:w="100" w:type="dxa"/>
              <w:right w:w="100" w:type="dxa"/>
            </w:tcMar>
          </w:tcPr>
          <w:p w14:paraId="26B3F45B" w14:textId="77777777" w:rsidR="00875BC3" w:rsidRDefault="007918C5">
            <w:pPr>
              <w:jc w:val="center"/>
            </w:pPr>
            <w:r>
              <w:rPr>
                <w:sz w:val="20"/>
                <w:szCs w:val="20"/>
              </w:rPr>
              <w:t>15.8%</w:t>
            </w:r>
          </w:p>
        </w:tc>
        <w:tc>
          <w:tcPr>
            <w:tcW w:w="1230" w:type="dxa"/>
            <w:tcBorders>
              <w:bottom w:val="single" w:sz="8" w:space="0" w:color="000000"/>
              <w:right w:val="single" w:sz="8" w:space="0" w:color="000000"/>
            </w:tcBorders>
            <w:tcMar>
              <w:top w:w="100" w:type="dxa"/>
              <w:left w:w="100" w:type="dxa"/>
              <w:bottom w:w="100" w:type="dxa"/>
              <w:right w:w="100" w:type="dxa"/>
            </w:tcMar>
          </w:tcPr>
          <w:p w14:paraId="60B1FBF5" w14:textId="77777777" w:rsidR="00875BC3" w:rsidRDefault="007918C5">
            <w:pPr>
              <w:jc w:val="center"/>
            </w:pPr>
            <w:r>
              <w:rPr>
                <w:sz w:val="20"/>
                <w:szCs w:val="20"/>
              </w:rPr>
              <w:t>15.0%</w:t>
            </w:r>
          </w:p>
        </w:tc>
      </w:tr>
      <w:tr w:rsidR="00875BC3" w14:paraId="35C148E1" w14:textId="77777777">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FA435C" w14:textId="77777777" w:rsidR="00875BC3" w:rsidRDefault="007918C5">
            <w:r>
              <w:t>Elderly</w:t>
            </w:r>
          </w:p>
        </w:tc>
        <w:tc>
          <w:tcPr>
            <w:tcW w:w="1440" w:type="dxa"/>
            <w:tcBorders>
              <w:bottom w:val="single" w:sz="8" w:space="0" w:color="000000"/>
              <w:right w:val="single" w:sz="8" w:space="0" w:color="000000"/>
            </w:tcBorders>
            <w:tcMar>
              <w:top w:w="100" w:type="dxa"/>
              <w:left w:w="100" w:type="dxa"/>
              <w:bottom w:w="100" w:type="dxa"/>
              <w:right w:w="100" w:type="dxa"/>
            </w:tcMar>
          </w:tcPr>
          <w:p w14:paraId="6EF71C20" w14:textId="77777777" w:rsidR="00875BC3" w:rsidRDefault="007918C5">
            <w:pPr>
              <w:jc w:val="center"/>
            </w:pPr>
            <w:r>
              <w:rPr>
                <w:sz w:val="20"/>
                <w:szCs w:val="20"/>
              </w:rPr>
              <w:t>20.3%</w:t>
            </w:r>
          </w:p>
        </w:tc>
        <w:tc>
          <w:tcPr>
            <w:tcW w:w="1185" w:type="dxa"/>
            <w:tcBorders>
              <w:bottom w:val="single" w:sz="8" w:space="0" w:color="000000"/>
              <w:right w:val="single" w:sz="8" w:space="0" w:color="000000"/>
            </w:tcBorders>
            <w:tcMar>
              <w:top w:w="100" w:type="dxa"/>
              <w:left w:w="100" w:type="dxa"/>
              <w:bottom w:w="100" w:type="dxa"/>
              <w:right w:w="100" w:type="dxa"/>
            </w:tcMar>
          </w:tcPr>
          <w:p w14:paraId="18FEF3A2" w14:textId="77777777" w:rsidR="00875BC3" w:rsidRDefault="007918C5">
            <w:pPr>
              <w:jc w:val="center"/>
            </w:pPr>
            <w:r>
              <w:rPr>
                <w:sz w:val="20"/>
                <w:szCs w:val="20"/>
              </w:rPr>
              <w:t>19.5%</w:t>
            </w:r>
          </w:p>
        </w:tc>
        <w:tc>
          <w:tcPr>
            <w:tcW w:w="1200" w:type="dxa"/>
            <w:tcBorders>
              <w:bottom w:val="single" w:sz="8" w:space="0" w:color="000000"/>
              <w:right w:val="single" w:sz="8" w:space="0" w:color="000000"/>
            </w:tcBorders>
            <w:tcMar>
              <w:top w:w="100" w:type="dxa"/>
              <w:left w:w="100" w:type="dxa"/>
              <w:bottom w:w="100" w:type="dxa"/>
              <w:right w:w="100" w:type="dxa"/>
            </w:tcMar>
          </w:tcPr>
          <w:p w14:paraId="07D55902" w14:textId="77777777" w:rsidR="00875BC3" w:rsidRDefault="007918C5">
            <w:pPr>
              <w:jc w:val="center"/>
            </w:pPr>
            <w:r>
              <w:rPr>
                <w:sz w:val="20"/>
                <w:szCs w:val="20"/>
              </w:rPr>
              <w:t>22.6%</w:t>
            </w:r>
          </w:p>
        </w:tc>
        <w:tc>
          <w:tcPr>
            <w:tcW w:w="1185" w:type="dxa"/>
            <w:tcBorders>
              <w:bottom w:val="single" w:sz="8" w:space="0" w:color="000000"/>
              <w:right w:val="single" w:sz="8" w:space="0" w:color="000000"/>
            </w:tcBorders>
            <w:tcMar>
              <w:top w:w="100" w:type="dxa"/>
              <w:left w:w="100" w:type="dxa"/>
              <w:bottom w:w="100" w:type="dxa"/>
              <w:right w:w="100" w:type="dxa"/>
            </w:tcMar>
          </w:tcPr>
          <w:p w14:paraId="1EC45C53" w14:textId="77777777" w:rsidR="00875BC3" w:rsidRDefault="007918C5">
            <w:pPr>
              <w:jc w:val="center"/>
            </w:pPr>
            <w:r>
              <w:rPr>
                <w:sz w:val="20"/>
                <w:szCs w:val="20"/>
              </w:rPr>
              <w:t>17.7%</w:t>
            </w:r>
          </w:p>
        </w:tc>
        <w:tc>
          <w:tcPr>
            <w:tcW w:w="1185" w:type="dxa"/>
            <w:tcBorders>
              <w:bottom w:val="single" w:sz="8" w:space="0" w:color="000000"/>
              <w:right w:val="single" w:sz="8" w:space="0" w:color="000000"/>
            </w:tcBorders>
            <w:tcMar>
              <w:top w:w="100" w:type="dxa"/>
              <w:left w:w="100" w:type="dxa"/>
              <w:bottom w:w="100" w:type="dxa"/>
              <w:right w:w="100" w:type="dxa"/>
            </w:tcMar>
          </w:tcPr>
          <w:p w14:paraId="6E169146" w14:textId="77777777" w:rsidR="00875BC3" w:rsidRDefault="007918C5">
            <w:pPr>
              <w:jc w:val="center"/>
            </w:pPr>
            <w:r>
              <w:rPr>
                <w:sz w:val="20"/>
                <w:szCs w:val="20"/>
              </w:rPr>
              <w:t>24.8%</w:t>
            </w:r>
          </w:p>
        </w:tc>
        <w:tc>
          <w:tcPr>
            <w:tcW w:w="1230" w:type="dxa"/>
            <w:tcBorders>
              <w:bottom w:val="single" w:sz="8" w:space="0" w:color="000000"/>
              <w:right w:val="single" w:sz="8" w:space="0" w:color="000000"/>
            </w:tcBorders>
            <w:tcMar>
              <w:top w:w="100" w:type="dxa"/>
              <w:left w:w="100" w:type="dxa"/>
              <w:bottom w:w="100" w:type="dxa"/>
              <w:right w:w="100" w:type="dxa"/>
            </w:tcMar>
          </w:tcPr>
          <w:p w14:paraId="72D02250" w14:textId="77777777" w:rsidR="00875BC3" w:rsidRDefault="007918C5">
            <w:pPr>
              <w:jc w:val="center"/>
            </w:pPr>
            <w:r>
              <w:rPr>
                <w:sz w:val="20"/>
                <w:szCs w:val="20"/>
              </w:rPr>
              <w:t>24.3%</w:t>
            </w:r>
          </w:p>
        </w:tc>
      </w:tr>
      <w:tr w:rsidR="00875BC3" w14:paraId="05DE05C9" w14:textId="77777777">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15B648" w14:textId="77777777" w:rsidR="00875BC3" w:rsidRDefault="007918C5">
            <w:r>
              <w:t>Single Female Headed Households</w:t>
            </w:r>
          </w:p>
        </w:tc>
        <w:tc>
          <w:tcPr>
            <w:tcW w:w="1440" w:type="dxa"/>
            <w:tcBorders>
              <w:bottom w:val="single" w:sz="8" w:space="0" w:color="000000"/>
              <w:right w:val="single" w:sz="8" w:space="0" w:color="000000"/>
            </w:tcBorders>
            <w:tcMar>
              <w:top w:w="100" w:type="dxa"/>
              <w:left w:w="100" w:type="dxa"/>
              <w:bottom w:w="100" w:type="dxa"/>
              <w:right w:w="100" w:type="dxa"/>
            </w:tcMar>
          </w:tcPr>
          <w:p w14:paraId="02FEBA22" w14:textId="77777777" w:rsidR="00875BC3" w:rsidRDefault="007918C5">
            <w:pPr>
              <w:jc w:val="center"/>
            </w:pPr>
            <w:r>
              <w:rPr>
                <w:sz w:val="20"/>
                <w:szCs w:val="20"/>
              </w:rPr>
              <w:t>10.8%</w:t>
            </w:r>
          </w:p>
        </w:tc>
        <w:tc>
          <w:tcPr>
            <w:tcW w:w="1185" w:type="dxa"/>
            <w:tcBorders>
              <w:bottom w:val="single" w:sz="8" w:space="0" w:color="000000"/>
              <w:right w:val="single" w:sz="8" w:space="0" w:color="000000"/>
            </w:tcBorders>
            <w:tcMar>
              <w:top w:w="100" w:type="dxa"/>
              <w:left w:w="100" w:type="dxa"/>
              <w:bottom w:w="100" w:type="dxa"/>
              <w:right w:w="100" w:type="dxa"/>
            </w:tcMar>
          </w:tcPr>
          <w:p w14:paraId="013752E4" w14:textId="77777777" w:rsidR="00875BC3" w:rsidRDefault="007918C5">
            <w:pPr>
              <w:jc w:val="center"/>
            </w:pPr>
            <w:r>
              <w:rPr>
                <w:sz w:val="20"/>
                <w:szCs w:val="20"/>
              </w:rPr>
              <w:t>9.9%</w:t>
            </w:r>
          </w:p>
        </w:tc>
        <w:tc>
          <w:tcPr>
            <w:tcW w:w="1200" w:type="dxa"/>
            <w:tcBorders>
              <w:bottom w:val="single" w:sz="8" w:space="0" w:color="000000"/>
              <w:right w:val="single" w:sz="8" w:space="0" w:color="000000"/>
            </w:tcBorders>
            <w:tcMar>
              <w:top w:w="100" w:type="dxa"/>
              <w:left w:w="100" w:type="dxa"/>
              <w:bottom w:w="100" w:type="dxa"/>
              <w:right w:w="100" w:type="dxa"/>
            </w:tcMar>
          </w:tcPr>
          <w:p w14:paraId="4273B292" w14:textId="77777777" w:rsidR="00875BC3" w:rsidRDefault="007918C5">
            <w:pPr>
              <w:jc w:val="center"/>
            </w:pPr>
            <w:r>
              <w:rPr>
                <w:sz w:val="20"/>
                <w:szCs w:val="20"/>
              </w:rPr>
              <w:t>15.1%</w:t>
            </w:r>
          </w:p>
        </w:tc>
        <w:tc>
          <w:tcPr>
            <w:tcW w:w="1185" w:type="dxa"/>
            <w:tcBorders>
              <w:bottom w:val="single" w:sz="8" w:space="0" w:color="000000"/>
              <w:right w:val="single" w:sz="8" w:space="0" w:color="000000"/>
            </w:tcBorders>
            <w:tcMar>
              <w:top w:w="100" w:type="dxa"/>
              <w:left w:w="100" w:type="dxa"/>
              <w:bottom w:w="100" w:type="dxa"/>
              <w:right w:w="100" w:type="dxa"/>
            </w:tcMar>
          </w:tcPr>
          <w:p w14:paraId="6B966F49" w14:textId="77777777" w:rsidR="00875BC3" w:rsidRDefault="007918C5">
            <w:pPr>
              <w:jc w:val="center"/>
            </w:pPr>
            <w:r>
              <w:rPr>
                <w:sz w:val="20"/>
                <w:szCs w:val="20"/>
              </w:rPr>
              <w:t>9.7%</w:t>
            </w:r>
          </w:p>
        </w:tc>
        <w:tc>
          <w:tcPr>
            <w:tcW w:w="1185" w:type="dxa"/>
            <w:tcBorders>
              <w:bottom w:val="single" w:sz="8" w:space="0" w:color="000000"/>
              <w:right w:val="single" w:sz="8" w:space="0" w:color="000000"/>
            </w:tcBorders>
            <w:tcMar>
              <w:top w:w="100" w:type="dxa"/>
              <w:left w:w="100" w:type="dxa"/>
              <w:bottom w:w="100" w:type="dxa"/>
              <w:right w:w="100" w:type="dxa"/>
            </w:tcMar>
          </w:tcPr>
          <w:p w14:paraId="053831F8" w14:textId="77777777" w:rsidR="00875BC3" w:rsidRDefault="007918C5">
            <w:pPr>
              <w:jc w:val="center"/>
            </w:pPr>
            <w:r>
              <w:rPr>
                <w:sz w:val="20"/>
                <w:szCs w:val="20"/>
              </w:rPr>
              <w:t>17.5%</w:t>
            </w:r>
          </w:p>
        </w:tc>
        <w:tc>
          <w:tcPr>
            <w:tcW w:w="1230" w:type="dxa"/>
            <w:tcBorders>
              <w:bottom w:val="single" w:sz="8" w:space="0" w:color="000000"/>
              <w:right w:val="single" w:sz="8" w:space="0" w:color="000000"/>
            </w:tcBorders>
            <w:tcMar>
              <w:top w:w="100" w:type="dxa"/>
              <w:left w:w="100" w:type="dxa"/>
              <w:bottom w:w="100" w:type="dxa"/>
              <w:right w:w="100" w:type="dxa"/>
            </w:tcMar>
          </w:tcPr>
          <w:p w14:paraId="57E1A0AE" w14:textId="77777777" w:rsidR="00875BC3" w:rsidRDefault="007918C5">
            <w:pPr>
              <w:jc w:val="center"/>
            </w:pPr>
            <w:r>
              <w:rPr>
                <w:sz w:val="20"/>
                <w:szCs w:val="20"/>
              </w:rPr>
              <w:t>16.7%</w:t>
            </w:r>
          </w:p>
        </w:tc>
      </w:tr>
      <w:tr w:rsidR="00875BC3" w14:paraId="0B50F1EA" w14:textId="77777777">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90A9F1" w14:textId="77777777" w:rsidR="00875BC3" w:rsidRDefault="007918C5">
            <w:r>
              <w:t>Large Family with low incomes</w:t>
            </w:r>
          </w:p>
          <w:p w14:paraId="15D445B0" w14:textId="77777777" w:rsidR="00875BC3" w:rsidRDefault="007918C5">
            <w:r>
              <w:t>(Renters)</w:t>
            </w:r>
          </w:p>
        </w:tc>
        <w:tc>
          <w:tcPr>
            <w:tcW w:w="1440" w:type="dxa"/>
            <w:tcBorders>
              <w:bottom w:val="single" w:sz="8" w:space="0" w:color="000000"/>
              <w:right w:val="single" w:sz="8" w:space="0" w:color="000000"/>
            </w:tcBorders>
            <w:tcMar>
              <w:top w:w="100" w:type="dxa"/>
              <w:left w:w="100" w:type="dxa"/>
              <w:bottom w:w="100" w:type="dxa"/>
              <w:right w:w="100" w:type="dxa"/>
            </w:tcMar>
          </w:tcPr>
          <w:p w14:paraId="0B824130" w14:textId="77777777" w:rsidR="00875BC3" w:rsidRDefault="007918C5">
            <w:pPr>
              <w:jc w:val="center"/>
            </w:pPr>
            <w:r>
              <w:rPr>
                <w:sz w:val="20"/>
                <w:szCs w:val="20"/>
              </w:rPr>
              <w:t xml:space="preserve">54.7% </w:t>
            </w:r>
          </w:p>
        </w:tc>
        <w:tc>
          <w:tcPr>
            <w:tcW w:w="1185" w:type="dxa"/>
            <w:tcBorders>
              <w:bottom w:val="single" w:sz="8" w:space="0" w:color="000000"/>
              <w:right w:val="single" w:sz="8" w:space="0" w:color="000000"/>
            </w:tcBorders>
            <w:tcMar>
              <w:top w:w="100" w:type="dxa"/>
              <w:left w:w="100" w:type="dxa"/>
              <w:bottom w:w="100" w:type="dxa"/>
              <w:right w:w="100" w:type="dxa"/>
            </w:tcMar>
          </w:tcPr>
          <w:p w14:paraId="1F0B9685" w14:textId="77777777" w:rsidR="00875BC3" w:rsidRDefault="007918C5">
            <w:pPr>
              <w:jc w:val="center"/>
            </w:pPr>
            <w:r>
              <w:rPr>
                <w:sz w:val="20"/>
                <w:szCs w:val="20"/>
              </w:rPr>
              <w:t xml:space="preserve">55.4% </w:t>
            </w:r>
          </w:p>
        </w:tc>
        <w:tc>
          <w:tcPr>
            <w:tcW w:w="1200" w:type="dxa"/>
            <w:tcBorders>
              <w:bottom w:val="single" w:sz="8" w:space="0" w:color="000000"/>
              <w:right w:val="single" w:sz="8" w:space="0" w:color="000000"/>
            </w:tcBorders>
            <w:tcMar>
              <w:top w:w="100" w:type="dxa"/>
              <w:left w:w="100" w:type="dxa"/>
              <w:bottom w:w="100" w:type="dxa"/>
              <w:right w:w="100" w:type="dxa"/>
            </w:tcMar>
          </w:tcPr>
          <w:p w14:paraId="1A9A3C1E" w14:textId="77777777" w:rsidR="00875BC3" w:rsidRDefault="007918C5">
            <w:pPr>
              <w:jc w:val="center"/>
            </w:pPr>
            <w:r>
              <w:rPr>
                <w:sz w:val="20"/>
                <w:szCs w:val="20"/>
              </w:rPr>
              <w:t xml:space="preserve">57.3% </w:t>
            </w:r>
          </w:p>
        </w:tc>
        <w:tc>
          <w:tcPr>
            <w:tcW w:w="1185" w:type="dxa"/>
            <w:tcBorders>
              <w:bottom w:val="single" w:sz="8" w:space="0" w:color="000000"/>
              <w:right w:val="single" w:sz="8" w:space="0" w:color="000000"/>
            </w:tcBorders>
            <w:tcMar>
              <w:top w:w="100" w:type="dxa"/>
              <w:left w:w="100" w:type="dxa"/>
              <w:bottom w:w="100" w:type="dxa"/>
              <w:right w:w="100" w:type="dxa"/>
            </w:tcMar>
          </w:tcPr>
          <w:p w14:paraId="2A010F89" w14:textId="77777777" w:rsidR="00875BC3" w:rsidRDefault="007918C5">
            <w:pPr>
              <w:jc w:val="center"/>
            </w:pPr>
            <w:r>
              <w:rPr>
                <w:sz w:val="20"/>
                <w:szCs w:val="20"/>
              </w:rPr>
              <w:t xml:space="preserve">71.8% </w:t>
            </w:r>
          </w:p>
        </w:tc>
        <w:tc>
          <w:tcPr>
            <w:tcW w:w="1185" w:type="dxa"/>
            <w:tcBorders>
              <w:bottom w:val="single" w:sz="8" w:space="0" w:color="000000"/>
              <w:right w:val="single" w:sz="8" w:space="0" w:color="000000"/>
            </w:tcBorders>
            <w:tcMar>
              <w:top w:w="100" w:type="dxa"/>
              <w:left w:w="100" w:type="dxa"/>
              <w:bottom w:w="100" w:type="dxa"/>
              <w:right w:w="100" w:type="dxa"/>
            </w:tcMar>
          </w:tcPr>
          <w:p w14:paraId="05BDBCEF" w14:textId="77777777" w:rsidR="00875BC3" w:rsidRDefault="007918C5">
            <w:pPr>
              <w:jc w:val="center"/>
            </w:pPr>
            <w:r>
              <w:rPr>
                <w:sz w:val="20"/>
                <w:szCs w:val="20"/>
              </w:rPr>
              <w:t xml:space="preserve">57.6% </w:t>
            </w:r>
          </w:p>
        </w:tc>
        <w:tc>
          <w:tcPr>
            <w:tcW w:w="1230" w:type="dxa"/>
            <w:tcBorders>
              <w:bottom w:val="single" w:sz="8" w:space="0" w:color="000000"/>
              <w:right w:val="single" w:sz="8" w:space="0" w:color="000000"/>
            </w:tcBorders>
            <w:tcMar>
              <w:top w:w="100" w:type="dxa"/>
              <w:left w:w="100" w:type="dxa"/>
              <w:bottom w:w="100" w:type="dxa"/>
              <w:right w:w="100" w:type="dxa"/>
            </w:tcMar>
          </w:tcPr>
          <w:p w14:paraId="5B05DF36" w14:textId="77777777" w:rsidR="00875BC3" w:rsidRDefault="007918C5">
            <w:pPr>
              <w:jc w:val="center"/>
            </w:pPr>
            <w:r>
              <w:rPr>
                <w:sz w:val="20"/>
                <w:szCs w:val="20"/>
              </w:rPr>
              <w:t xml:space="preserve"> 53.9%</w:t>
            </w:r>
          </w:p>
        </w:tc>
      </w:tr>
      <w:tr w:rsidR="00875BC3" w14:paraId="458DB508" w14:textId="77777777">
        <w:tc>
          <w:tcPr>
            <w:tcW w:w="1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D4293" w14:textId="77777777" w:rsidR="00875BC3" w:rsidRDefault="007918C5">
            <w:r>
              <w:t>Does not Speak English well</w:t>
            </w:r>
          </w:p>
        </w:tc>
        <w:tc>
          <w:tcPr>
            <w:tcW w:w="1440" w:type="dxa"/>
            <w:tcBorders>
              <w:bottom w:val="single" w:sz="8" w:space="0" w:color="000000"/>
              <w:right w:val="single" w:sz="8" w:space="0" w:color="000000"/>
            </w:tcBorders>
            <w:tcMar>
              <w:top w:w="100" w:type="dxa"/>
              <w:left w:w="100" w:type="dxa"/>
              <w:bottom w:w="100" w:type="dxa"/>
              <w:right w:w="100" w:type="dxa"/>
            </w:tcMar>
          </w:tcPr>
          <w:p w14:paraId="03CFCD75" w14:textId="77777777" w:rsidR="00875BC3" w:rsidRDefault="007918C5">
            <w:pPr>
              <w:jc w:val="center"/>
            </w:pPr>
            <w:r>
              <w:rPr>
                <w:sz w:val="20"/>
                <w:szCs w:val="20"/>
              </w:rPr>
              <w:t>9.3%</w:t>
            </w:r>
          </w:p>
        </w:tc>
        <w:tc>
          <w:tcPr>
            <w:tcW w:w="1185" w:type="dxa"/>
            <w:tcBorders>
              <w:bottom w:val="single" w:sz="8" w:space="0" w:color="000000"/>
              <w:right w:val="single" w:sz="8" w:space="0" w:color="000000"/>
            </w:tcBorders>
            <w:tcMar>
              <w:top w:w="100" w:type="dxa"/>
              <w:left w:w="100" w:type="dxa"/>
              <w:bottom w:w="100" w:type="dxa"/>
              <w:right w:w="100" w:type="dxa"/>
            </w:tcMar>
          </w:tcPr>
          <w:p w14:paraId="5609C2FD" w14:textId="77777777" w:rsidR="00875BC3" w:rsidRDefault="007918C5">
            <w:pPr>
              <w:jc w:val="center"/>
            </w:pPr>
            <w:r>
              <w:rPr>
                <w:sz w:val="20"/>
                <w:szCs w:val="20"/>
              </w:rPr>
              <w:t>8.9%</w:t>
            </w:r>
          </w:p>
        </w:tc>
        <w:tc>
          <w:tcPr>
            <w:tcW w:w="1200" w:type="dxa"/>
            <w:tcBorders>
              <w:bottom w:val="single" w:sz="8" w:space="0" w:color="000000"/>
              <w:right w:val="single" w:sz="8" w:space="0" w:color="000000"/>
            </w:tcBorders>
            <w:tcMar>
              <w:top w:w="100" w:type="dxa"/>
              <w:left w:w="100" w:type="dxa"/>
              <w:bottom w:w="100" w:type="dxa"/>
              <w:right w:w="100" w:type="dxa"/>
            </w:tcMar>
          </w:tcPr>
          <w:p w14:paraId="4F8A5AAC" w14:textId="77777777" w:rsidR="00875BC3" w:rsidRDefault="007918C5">
            <w:pPr>
              <w:jc w:val="center"/>
            </w:pPr>
            <w:r>
              <w:rPr>
                <w:sz w:val="20"/>
                <w:szCs w:val="20"/>
              </w:rPr>
              <w:t>16.4%</w:t>
            </w:r>
          </w:p>
        </w:tc>
        <w:tc>
          <w:tcPr>
            <w:tcW w:w="1185" w:type="dxa"/>
            <w:tcBorders>
              <w:bottom w:val="single" w:sz="8" w:space="0" w:color="000000"/>
              <w:right w:val="single" w:sz="8" w:space="0" w:color="000000"/>
            </w:tcBorders>
            <w:tcMar>
              <w:top w:w="100" w:type="dxa"/>
              <w:left w:w="100" w:type="dxa"/>
              <w:bottom w:w="100" w:type="dxa"/>
              <w:right w:w="100" w:type="dxa"/>
            </w:tcMar>
          </w:tcPr>
          <w:p w14:paraId="09C54E81" w14:textId="77777777" w:rsidR="00875BC3" w:rsidRDefault="007918C5">
            <w:pPr>
              <w:jc w:val="center"/>
            </w:pPr>
            <w:r>
              <w:rPr>
                <w:sz w:val="20"/>
                <w:szCs w:val="20"/>
              </w:rPr>
              <w:t>7.2%</w:t>
            </w:r>
          </w:p>
        </w:tc>
        <w:tc>
          <w:tcPr>
            <w:tcW w:w="1185" w:type="dxa"/>
            <w:tcBorders>
              <w:bottom w:val="single" w:sz="8" w:space="0" w:color="000000"/>
              <w:right w:val="single" w:sz="8" w:space="0" w:color="000000"/>
            </w:tcBorders>
            <w:tcMar>
              <w:top w:w="100" w:type="dxa"/>
              <w:left w:w="100" w:type="dxa"/>
              <w:bottom w:w="100" w:type="dxa"/>
              <w:right w:w="100" w:type="dxa"/>
            </w:tcMar>
          </w:tcPr>
          <w:p w14:paraId="7161726B" w14:textId="77777777" w:rsidR="00875BC3" w:rsidRDefault="007918C5">
            <w:pPr>
              <w:jc w:val="center"/>
            </w:pPr>
            <w:r>
              <w:rPr>
                <w:sz w:val="20"/>
                <w:szCs w:val="20"/>
              </w:rPr>
              <w:t>23.3%</w:t>
            </w:r>
          </w:p>
        </w:tc>
        <w:tc>
          <w:tcPr>
            <w:tcW w:w="1230" w:type="dxa"/>
            <w:tcBorders>
              <w:bottom w:val="single" w:sz="8" w:space="0" w:color="000000"/>
              <w:right w:val="single" w:sz="8" w:space="0" w:color="000000"/>
            </w:tcBorders>
            <w:tcMar>
              <w:top w:w="100" w:type="dxa"/>
              <w:left w:w="100" w:type="dxa"/>
              <w:bottom w:w="100" w:type="dxa"/>
              <w:right w:w="100" w:type="dxa"/>
            </w:tcMar>
          </w:tcPr>
          <w:p w14:paraId="426F5E9E" w14:textId="77777777" w:rsidR="00875BC3" w:rsidRDefault="007918C5">
            <w:pPr>
              <w:jc w:val="center"/>
            </w:pPr>
            <w:r>
              <w:rPr>
                <w:sz w:val="20"/>
                <w:szCs w:val="20"/>
              </w:rPr>
              <w:t>10.5%</w:t>
            </w:r>
          </w:p>
        </w:tc>
      </w:tr>
    </w:tbl>
    <w:p w14:paraId="6866C161" w14:textId="77777777" w:rsidR="00875BC3" w:rsidRPr="008224B9" w:rsidRDefault="007918C5">
      <w:pPr>
        <w:rPr>
          <w:sz w:val="16"/>
          <w:szCs w:val="18"/>
        </w:rPr>
      </w:pPr>
      <w:r w:rsidRPr="008224B9">
        <w:rPr>
          <w:sz w:val="16"/>
          <w:szCs w:val="18"/>
        </w:rPr>
        <w:t>Data Source:  ACS 2010-2014 5 year Estimates, 2008-2012 CHAS</w:t>
      </w:r>
    </w:p>
    <w:p w14:paraId="49159F66" w14:textId="77777777" w:rsidR="00875BC3" w:rsidRDefault="007918C5">
      <w:r>
        <w:t xml:space="preserve"> </w:t>
      </w:r>
    </w:p>
    <w:p w14:paraId="5D90DAE1" w14:textId="77777777" w:rsidR="00875BC3" w:rsidRDefault="007918C5">
      <w:r>
        <w:t xml:space="preserve"> </w:t>
      </w:r>
    </w:p>
    <w:p w14:paraId="1929C6E0" w14:textId="77777777" w:rsidR="00875BC3" w:rsidRDefault="007918C5">
      <w:r>
        <w:t xml:space="preserve"> </w:t>
      </w:r>
    </w:p>
    <w:p w14:paraId="72BF50BF" w14:textId="77777777" w:rsidR="00875BC3" w:rsidRDefault="007918C5">
      <w:r>
        <w:br w:type="page"/>
      </w:r>
    </w:p>
    <w:p w14:paraId="30899344" w14:textId="77777777" w:rsidR="00875BC3" w:rsidRDefault="00875BC3"/>
    <w:p w14:paraId="28E3767D" w14:textId="77777777" w:rsidR="00875BC3" w:rsidRDefault="007918C5">
      <w:r>
        <w:t xml:space="preserve"> </w:t>
      </w:r>
    </w:p>
    <w:p w14:paraId="39456AA2" w14:textId="77777777" w:rsidR="00875BC3" w:rsidRPr="009B6F33" w:rsidRDefault="007918C5">
      <w:pPr>
        <w:rPr>
          <w:rFonts w:ascii="Cambria" w:hAnsi="Cambria"/>
          <w:b/>
        </w:rPr>
      </w:pPr>
      <w:r w:rsidRPr="009B6F33">
        <w:rPr>
          <w:rFonts w:ascii="Cambria" w:hAnsi="Cambria"/>
          <w:b/>
        </w:rPr>
        <w:t>2) Precarious Housing (Dwelling Units)</w:t>
      </w:r>
    </w:p>
    <w:p w14:paraId="37189ECC" w14:textId="77777777" w:rsidR="00875BC3" w:rsidRDefault="00875BC3"/>
    <w:p w14:paraId="4690B8B3" w14:textId="77777777" w:rsidR="00875BC3" w:rsidRDefault="007918C5">
      <w:pPr>
        <w:rPr>
          <w:rFonts w:ascii="Cambria" w:hAnsi="Cambria"/>
        </w:rPr>
      </w:pPr>
      <w:r w:rsidRPr="009B6F33">
        <w:rPr>
          <w:rFonts w:ascii="Cambria" w:hAnsi="Cambria"/>
        </w:rPr>
        <w:t>Compared to the overall housing stock in the county, there are more small multifamily housing units in the corridor—multifamily buildings with fewer than 10 units.</w:t>
      </w:r>
    </w:p>
    <w:p w14:paraId="002B9938" w14:textId="77777777" w:rsidR="009B6F33" w:rsidRPr="009B6F33" w:rsidRDefault="009B6F33">
      <w:pPr>
        <w:rPr>
          <w:rFonts w:ascii="Cambria" w:hAnsi="Cambria"/>
        </w:rPr>
      </w:pPr>
    </w:p>
    <w:p w14:paraId="390A7488" w14:textId="098FE713" w:rsidR="00875BC3" w:rsidRPr="009B6F33" w:rsidRDefault="007918C5">
      <w:pPr>
        <w:rPr>
          <w:rFonts w:ascii="Cambria" w:hAnsi="Cambria"/>
        </w:rPr>
      </w:pPr>
      <w:r w:rsidRPr="009B6F33">
        <w:rPr>
          <w:rFonts w:ascii="Cambria" w:hAnsi="Cambria"/>
        </w:rPr>
        <w:t>Based on the conditions field study conducted by BPS, these small multifamily buildings may be in poor condition. In the station area target zones, surveyors found 483 units in duplex, triplex, quad buildings and manufactured housing that are in poor condition. In the 162nd and Division area there were 43</w:t>
      </w:r>
      <w:r w:rsidR="009B6F33">
        <w:rPr>
          <w:rFonts w:ascii="Cambria" w:hAnsi="Cambria"/>
        </w:rPr>
        <w:t xml:space="preserve"> percent</w:t>
      </w:r>
      <w:r w:rsidRPr="009B6F33">
        <w:rPr>
          <w:rFonts w:ascii="Cambria" w:hAnsi="Cambria"/>
        </w:rPr>
        <w:t xml:space="preserve"> of all units rated poor; in Division Midway it was 29%. These units are older and may not be capitalized sufficiently to provide repairs without displacing tenants.</w:t>
      </w:r>
    </w:p>
    <w:p w14:paraId="61256683" w14:textId="77777777" w:rsidR="00875BC3" w:rsidRDefault="00875BC3"/>
    <w:p w14:paraId="72DA9903" w14:textId="77777777" w:rsidR="00875BC3" w:rsidRDefault="00875BC3"/>
    <w:p w14:paraId="472CF7BC" w14:textId="77777777" w:rsidR="00875BC3" w:rsidRDefault="007918C5">
      <w:r>
        <w:t xml:space="preserve"> </w:t>
      </w:r>
      <w:r>
        <w:rPr>
          <w:b/>
        </w:rPr>
        <w:t>Precarious housing indicators</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1425"/>
        <w:gridCol w:w="1155"/>
        <w:gridCol w:w="1170"/>
        <w:gridCol w:w="1155"/>
        <w:gridCol w:w="1170"/>
        <w:gridCol w:w="1215"/>
      </w:tblGrid>
      <w:tr w:rsidR="00875BC3" w14:paraId="3BFD137D" w14:textId="77777777">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8B3A7" w14:textId="77777777" w:rsidR="00875BC3" w:rsidRDefault="007918C5">
            <w:pPr>
              <w:jc w:val="center"/>
            </w:pPr>
            <w:r>
              <w:t xml:space="preserve"> </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80C4AA" w14:textId="77777777" w:rsidR="00875BC3" w:rsidRDefault="007918C5">
            <w:pPr>
              <w:jc w:val="center"/>
            </w:pPr>
            <w:r>
              <w:rPr>
                <w:b/>
              </w:rPr>
              <w:t>Multnomah</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059409" w14:textId="77777777" w:rsidR="00875BC3" w:rsidRDefault="007918C5">
            <w:pPr>
              <w:jc w:val="center"/>
            </w:pPr>
            <w:r>
              <w:rPr>
                <w:b/>
              </w:rPr>
              <w:t>Portland</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0CF4DC" w14:textId="77777777" w:rsidR="00875BC3" w:rsidRDefault="007918C5">
            <w:pPr>
              <w:jc w:val="center"/>
            </w:pPr>
            <w:r>
              <w:rPr>
                <w:b/>
              </w:rPr>
              <w:t>Corridor</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1A82BA" w14:textId="77777777" w:rsidR="00875BC3" w:rsidRDefault="007918C5">
            <w:pPr>
              <w:jc w:val="center"/>
            </w:pPr>
            <w:r>
              <w:rPr>
                <w:b/>
              </w:rPr>
              <w:t>Central Eastside</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15D524" w14:textId="77777777" w:rsidR="00875BC3" w:rsidRDefault="007918C5">
            <w:pPr>
              <w:jc w:val="center"/>
            </w:pPr>
            <w:r>
              <w:rPr>
                <w:b/>
              </w:rPr>
              <w:t>East Portland</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9E8910" w14:textId="77777777" w:rsidR="00875BC3" w:rsidRDefault="007918C5">
            <w:pPr>
              <w:jc w:val="center"/>
            </w:pPr>
            <w:r>
              <w:rPr>
                <w:b/>
              </w:rPr>
              <w:t>Gresham West</w:t>
            </w:r>
          </w:p>
        </w:tc>
      </w:tr>
      <w:tr w:rsidR="00875BC3" w14:paraId="1E100259" w14:textId="77777777">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E172CE" w14:textId="77777777" w:rsidR="00875BC3" w:rsidRDefault="007918C5">
            <w:r>
              <w:t>Renter Occupied</w:t>
            </w:r>
          </w:p>
        </w:tc>
        <w:tc>
          <w:tcPr>
            <w:tcW w:w="1425" w:type="dxa"/>
            <w:tcBorders>
              <w:bottom w:val="single" w:sz="8" w:space="0" w:color="000000"/>
              <w:right w:val="single" w:sz="8" w:space="0" w:color="000000"/>
            </w:tcBorders>
            <w:tcMar>
              <w:top w:w="100" w:type="dxa"/>
              <w:left w:w="100" w:type="dxa"/>
              <w:bottom w:w="100" w:type="dxa"/>
              <w:right w:w="100" w:type="dxa"/>
            </w:tcMar>
          </w:tcPr>
          <w:p w14:paraId="41FE4538" w14:textId="77777777" w:rsidR="00875BC3" w:rsidRDefault="007918C5">
            <w:pPr>
              <w:jc w:val="center"/>
            </w:pPr>
            <w:r>
              <w:rPr>
                <w:sz w:val="20"/>
                <w:szCs w:val="20"/>
              </w:rPr>
              <w:t>46.3%</w:t>
            </w:r>
          </w:p>
        </w:tc>
        <w:tc>
          <w:tcPr>
            <w:tcW w:w="1155" w:type="dxa"/>
            <w:tcBorders>
              <w:bottom w:val="single" w:sz="8" w:space="0" w:color="000000"/>
              <w:right w:val="single" w:sz="8" w:space="0" w:color="000000"/>
            </w:tcBorders>
            <w:tcMar>
              <w:top w:w="100" w:type="dxa"/>
              <w:left w:w="100" w:type="dxa"/>
              <w:bottom w:w="100" w:type="dxa"/>
              <w:right w:w="100" w:type="dxa"/>
            </w:tcMar>
          </w:tcPr>
          <w:p w14:paraId="52B23CE6" w14:textId="77777777" w:rsidR="00875BC3" w:rsidRDefault="007918C5">
            <w:pPr>
              <w:jc w:val="center"/>
            </w:pPr>
            <w:r>
              <w:rPr>
                <w:sz w:val="20"/>
                <w:szCs w:val="20"/>
              </w:rPr>
              <w:t>47.2%</w:t>
            </w:r>
          </w:p>
        </w:tc>
        <w:tc>
          <w:tcPr>
            <w:tcW w:w="1170" w:type="dxa"/>
            <w:tcBorders>
              <w:bottom w:val="single" w:sz="8" w:space="0" w:color="000000"/>
              <w:right w:val="single" w:sz="8" w:space="0" w:color="000000"/>
            </w:tcBorders>
            <w:tcMar>
              <w:top w:w="100" w:type="dxa"/>
              <w:left w:w="100" w:type="dxa"/>
              <w:bottom w:w="100" w:type="dxa"/>
              <w:right w:w="100" w:type="dxa"/>
            </w:tcMar>
          </w:tcPr>
          <w:p w14:paraId="1AD72F4E" w14:textId="77777777" w:rsidR="00875BC3" w:rsidRDefault="007918C5">
            <w:pPr>
              <w:jc w:val="center"/>
            </w:pPr>
            <w:r>
              <w:rPr>
                <w:sz w:val="20"/>
                <w:szCs w:val="20"/>
              </w:rPr>
              <w:t>52.7%</w:t>
            </w:r>
          </w:p>
        </w:tc>
        <w:tc>
          <w:tcPr>
            <w:tcW w:w="1155" w:type="dxa"/>
            <w:tcBorders>
              <w:bottom w:val="single" w:sz="8" w:space="0" w:color="000000"/>
              <w:right w:val="single" w:sz="8" w:space="0" w:color="000000"/>
            </w:tcBorders>
            <w:tcMar>
              <w:top w:w="100" w:type="dxa"/>
              <w:left w:w="100" w:type="dxa"/>
              <w:bottom w:w="100" w:type="dxa"/>
              <w:right w:w="100" w:type="dxa"/>
            </w:tcMar>
          </w:tcPr>
          <w:p w14:paraId="4C3E7E74" w14:textId="77777777" w:rsidR="00875BC3" w:rsidRDefault="007918C5">
            <w:pPr>
              <w:jc w:val="center"/>
            </w:pPr>
            <w:r>
              <w:rPr>
                <w:sz w:val="20"/>
                <w:szCs w:val="20"/>
              </w:rPr>
              <w:t>51.4%</w:t>
            </w:r>
          </w:p>
        </w:tc>
        <w:tc>
          <w:tcPr>
            <w:tcW w:w="1170" w:type="dxa"/>
            <w:tcBorders>
              <w:bottom w:val="single" w:sz="8" w:space="0" w:color="000000"/>
              <w:right w:val="single" w:sz="8" w:space="0" w:color="000000"/>
            </w:tcBorders>
            <w:tcMar>
              <w:top w:w="100" w:type="dxa"/>
              <w:left w:w="100" w:type="dxa"/>
              <w:bottom w:w="100" w:type="dxa"/>
              <w:right w:w="100" w:type="dxa"/>
            </w:tcMar>
          </w:tcPr>
          <w:p w14:paraId="14860E0C" w14:textId="77777777" w:rsidR="00875BC3" w:rsidRDefault="007918C5">
            <w:pPr>
              <w:jc w:val="center"/>
            </w:pPr>
            <w:r>
              <w:rPr>
                <w:sz w:val="20"/>
                <w:szCs w:val="20"/>
              </w:rPr>
              <w:t>51.5%</w:t>
            </w:r>
          </w:p>
        </w:tc>
        <w:tc>
          <w:tcPr>
            <w:tcW w:w="1215" w:type="dxa"/>
            <w:tcBorders>
              <w:bottom w:val="single" w:sz="8" w:space="0" w:color="000000"/>
              <w:right w:val="single" w:sz="8" w:space="0" w:color="000000"/>
            </w:tcBorders>
            <w:tcMar>
              <w:top w:w="100" w:type="dxa"/>
              <w:left w:w="100" w:type="dxa"/>
              <w:bottom w:w="100" w:type="dxa"/>
              <w:right w:w="100" w:type="dxa"/>
            </w:tcMar>
          </w:tcPr>
          <w:p w14:paraId="75D59708" w14:textId="77777777" w:rsidR="00875BC3" w:rsidRDefault="007918C5">
            <w:pPr>
              <w:jc w:val="center"/>
            </w:pPr>
            <w:r>
              <w:rPr>
                <w:sz w:val="20"/>
                <w:szCs w:val="20"/>
              </w:rPr>
              <w:t>57.0%</w:t>
            </w:r>
          </w:p>
        </w:tc>
      </w:tr>
      <w:tr w:rsidR="00875BC3" w14:paraId="52EDAF9F" w14:textId="77777777">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36CE4C" w14:textId="77777777" w:rsidR="00875BC3" w:rsidRDefault="007918C5">
            <w:r>
              <w:t>Single family</w:t>
            </w:r>
          </w:p>
        </w:tc>
        <w:tc>
          <w:tcPr>
            <w:tcW w:w="1425" w:type="dxa"/>
            <w:tcBorders>
              <w:bottom w:val="single" w:sz="8" w:space="0" w:color="000000"/>
              <w:right w:val="single" w:sz="8" w:space="0" w:color="000000"/>
            </w:tcBorders>
            <w:tcMar>
              <w:top w:w="100" w:type="dxa"/>
              <w:left w:w="100" w:type="dxa"/>
              <w:bottom w:w="100" w:type="dxa"/>
              <w:right w:w="100" w:type="dxa"/>
            </w:tcMar>
          </w:tcPr>
          <w:p w14:paraId="3C951BC4" w14:textId="77777777" w:rsidR="00875BC3" w:rsidRDefault="007918C5">
            <w:pPr>
              <w:jc w:val="center"/>
            </w:pPr>
            <w:r>
              <w:rPr>
                <w:sz w:val="20"/>
                <w:szCs w:val="20"/>
              </w:rPr>
              <w:t>56.1%</w:t>
            </w:r>
          </w:p>
        </w:tc>
        <w:tc>
          <w:tcPr>
            <w:tcW w:w="1155" w:type="dxa"/>
            <w:tcBorders>
              <w:bottom w:val="single" w:sz="8" w:space="0" w:color="000000"/>
              <w:right w:val="single" w:sz="8" w:space="0" w:color="000000"/>
            </w:tcBorders>
            <w:tcMar>
              <w:top w:w="100" w:type="dxa"/>
              <w:left w:w="100" w:type="dxa"/>
              <w:bottom w:w="100" w:type="dxa"/>
              <w:right w:w="100" w:type="dxa"/>
            </w:tcMar>
          </w:tcPr>
          <w:p w14:paraId="3F570618" w14:textId="77777777" w:rsidR="00875BC3" w:rsidRDefault="007918C5">
            <w:pPr>
              <w:jc w:val="center"/>
            </w:pPr>
            <w:r>
              <w:rPr>
                <w:sz w:val="20"/>
                <w:szCs w:val="20"/>
              </w:rPr>
              <w:t>56.1%</w:t>
            </w:r>
          </w:p>
        </w:tc>
        <w:tc>
          <w:tcPr>
            <w:tcW w:w="1170" w:type="dxa"/>
            <w:tcBorders>
              <w:bottom w:val="single" w:sz="8" w:space="0" w:color="000000"/>
              <w:right w:val="single" w:sz="8" w:space="0" w:color="000000"/>
            </w:tcBorders>
            <w:tcMar>
              <w:top w:w="100" w:type="dxa"/>
              <w:left w:w="100" w:type="dxa"/>
              <w:bottom w:w="100" w:type="dxa"/>
              <w:right w:w="100" w:type="dxa"/>
            </w:tcMar>
          </w:tcPr>
          <w:p w14:paraId="0891A309" w14:textId="77777777" w:rsidR="00875BC3" w:rsidRDefault="007918C5">
            <w:pPr>
              <w:jc w:val="center"/>
            </w:pPr>
            <w:r>
              <w:rPr>
                <w:sz w:val="20"/>
                <w:szCs w:val="20"/>
              </w:rPr>
              <w:t>53.2%</w:t>
            </w:r>
          </w:p>
        </w:tc>
        <w:tc>
          <w:tcPr>
            <w:tcW w:w="1155" w:type="dxa"/>
            <w:tcBorders>
              <w:bottom w:val="single" w:sz="8" w:space="0" w:color="000000"/>
              <w:right w:val="single" w:sz="8" w:space="0" w:color="000000"/>
            </w:tcBorders>
            <w:tcMar>
              <w:top w:w="100" w:type="dxa"/>
              <w:left w:w="100" w:type="dxa"/>
              <w:bottom w:w="100" w:type="dxa"/>
              <w:right w:w="100" w:type="dxa"/>
            </w:tcMar>
          </w:tcPr>
          <w:p w14:paraId="56283B5A" w14:textId="77777777" w:rsidR="00875BC3" w:rsidRDefault="007918C5">
            <w:pPr>
              <w:jc w:val="center"/>
            </w:pPr>
            <w:r>
              <w:rPr>
                <w:sz w:val="20"/>
                <w:szCs w:val="20"/>
              </w:rPr>
              <w:t>59.0%</w:t>
            </w:r>
          </w:p>
        </w:tc>
        <w:tc>
          <w:tcPr>
            <w:tcW w:w="1170" w:type="dxa"/>
            <w:tcBorders>
              <w:bottom w:val="single" w:sz="8" w:space="0" w:color="000000"/>
              <w:right w:val="single" w:sz="8" w:space="0" w:color="000000"/>
            </w:tcBorders>
            <w:tcMar>
              <w:top w:w="100" w:type="dxa"/>
              <w:left w:w="100" w:type="dxa"/>
              <w:bottom w:w="100" w:type="dxa"/>
              <w:right w:w="100" w:type="dxa"/>
            </w:tcMar>
          </w:tcPr>
          <w:p w14:paraId="6079D68B" w14:textId="77777777" w:rsidR="00875BC3" w:rsidRDefault="007918C5">
            <w:pPr>
              <w:jc w:val="center"/>
            </w:pPr>
            <w:r>
              <w:rPr>
                <w:sz w:val="20"/>
                <w:szCs w:val="20"/>
              </w:rPr>
              <w:t>55.2%</w:t>
            </w:r>
          </w:p>
        </w:tc>
        <w:tc>
          <w:tcPr>
            <w:tcW w:w="1215" w:type="dxa"/>
            <w:tcBorders>
              <w:bottom w:val="single" w:sz="8" w:space="0" w:color="000000"/>
              <w:right w:val="single" w:sz="8" w:space="0" w:color="000000"/>
            </w:tcBorders>
            <w:tcMar>
              <w:top w:w="100" w:type="dxa"/>
              <w:left w:w="100" w:type="dxa"/>
              <w:bottom w:w="100" w:type="dxa"/>
              <w:right w:w="100" w:type="dxa"/>
            </w:tcMar>
          </w:tcPr>
          <w:p w14:paraId="3D286D16" w14:textId="77777777" w:rsidR="00875BC3" w:rsidRDefault="007918C5">
            <w:pPr>
              <w:jc w:val="center"/>
            </w:pPr>
            <w:r>
              <w:rPr>
                <w:sz w:val="20"/>
                <w:szCs w:val="20"/>
              </w:rPr>
              <w:t>40.9%</w:t>
            </w:r>
          </w:p>
        </w:tc>
      </w:tr>
      <w:tr w:rsidR="00875BC3" w14:paraId="6E3CB14F" w14:textId="77777777">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73D4F" w14:textId="77777777" w:rsidR="00875BC3" w:rsidRDefault="007918C5">
            <w:r>
              <w:t>Multi-Family Buildings, fewer than 10 units</w:t>
            </w:r>
          </w:p>
        </w:tc>
        <w:tc>
          <w:tcPr>
            <w:tcW w:w="1425" w:type="dxa"/>
            <w:tcBorders>
              <w:bottom w:val="single" w:sz="8" w:space="0" w:color="000000"/>
              <w:right w:val="single" w:sz="8" w:space="0" w:color="000000"/>
            </w:tcBorders>
            <w:tcMar>
              <w:top w:w="100" w:type="dxa"/>
              <w:left w:w="100" w:type="dxa"/>
              <w:bottom w:w="100" w:type="dxa"/>
              <w:right w:w="100" w:type="dxa"/>
            </w:tcMar>
          </w:tcPr>
          <w:p w14:paraId="1077AB50" w14:textId="77777777" w:rsidR="00875BC3" w:rsidRDefault="007918C5">
            <w:pPr>
              <w:jc w:val="center"/>
            </w:pPr>
            <w:r>
              <w:rPr>
                <w:sz w:val="20"/>
                <w:szCs w:val="20"/>
              </w:rPr>
              <w:t>15.8%</w:t>
            </w:r>
          </w:p>
        </w:tc>
        <w:tc>
          <w:tcPr>
            <w:tcW w:w="1155" w:type="dxa"/>
            <w:tcBorders>
              <w:bottom w:val="single" w:sz="8" w:space="0" w:color="000000"/>
              <w:right w:val="single" w:sz="8" w:space="0" w:color="000000"/>
            </w:tcBorders>
            <w:tcMar>
              <w:top w:w="100" w:type="dxa"/>
              <w:left w:w="100" w:type="dxa"/>
              <w:bottom w:w="100" w:type="dxa"/>
              <w:right w:w="100" w:type="dxa"/>
            </w:tcMar>
          </w:tcPr>
          <w:p w14:paraId="59F3C499" w14:textId="77777777" w:rsidR="00875BC3" w:rsidRDefault="007918C5">
            <w:pPr>
              <w:jc w:val="center"/>
            </w:pPr>
            <w:r>
              <w:rPr>
                <w:sz w:val="20"/>
                <w:szCs w:val="20"/>
              </w:rPr>
              <w:t>15.3%</w:t>
            </w:r>
          </w:p>
        </w:tc>
        <w:tc>
          <w:tcPr>
            <w:tcW w:w="1170" w:type="dxa"/>
            <w:tcBorders>
              <w:bottom w:val="single" w:sz="8" w:space="0" w:color="000000"/>
              <w:right w:val="single" w:sz="8" w:space="0" w:color="000000"/>
            </w:tcBorders>
            <w:tcMar>
              <w:top w:w="100" w:type="dxa"/>
              <w:left w:w="100" w:type="dxa"/>
              <w:bottom w:w="100" w:type="dxa"/>
              <w:right w:w="100" w:type="dxa"/>
            </w:tcMar>
          </w:tcPr>
          <w:p w14:paraId="77CA05AF" w14:textId="77777777" w:rsidR="00875BC3" w:rsidRDefault="007918C5">
            <w:pPr>
              <w:jc w:val="center"/>
            </w:pPr>
            <w:r>
              <w:rPr>
                <w:sz w:val="20"/>
                <w:szCs w:val="20"/>
              </w:rPr>
              <w:t>21.6%</w:t>
            </w:r>
          </w:p>
        </w:tc>
        <w:tc>
          <w:tcPr>
            <w:tcW w:w="1155" w:type="dxa"/>
            <w:tcBorders>
              <w:bottom w:val="single" w:sz="8" w:space="0" w:color="000000"/>
              <w:right w:val="single" w:sz="8" w:space="0" w:color="000000"/>
            </w:tcBorders>
            <w:tcMar>
              <w:top w:w="100" w:type="dxa"/>
              <w:left w:w="100" w:type="dxa"/>
              <w:bottom w:w="100" w:type="dxa"/>
              <w:right w:w="100" w:type="dxa"/>
            </w:tcMar>
          </w:tcPr>
          <w:p w14:paraId="1C48FE31" w14:textId="77777777" w:rsidR="00875BC3" w:rsidRDefault="007918C5">
            <w:pPr>
              <w:jc w:val="center"/>
            </w:pPr>
            <w:r>
              <w:rPr>
                <w:sz w:val="20"/>
                <w:szCs w:val="20"/>
              </w:rPr>
              <w:t>22.9%</w:t>
            </w:r>
          </w:p>
        </w:tc>
        <w:tc>
          <w:tcPr>
            <w:tcW w:w="1170" w:type="dxa"/>
            <w:tcBorders>
              <w:bottom w:val="single" w:sz="8" w:space="0" w:color="000000"/>
              <w:right w:val="single" w:sz="8" w:space="0" w:color="000000"/>
            </w:tcBorders>
            <w:tcMar>
              <w:top w:w="100" w:type="dxa"/>
              <w:left w:w="100" w:type="dxa"/>
              <w:bottom w:w="100" w:type="dxa"/>
              <w:right w:w="100" w:type="dxa"/>
            </w:tcMar>
          </w:tcPr>
          <w:p w14:paraId="374C5BC4" w14:textId="77777777" w:rsidR="00875BC3" w:rsidRDefault="007918C5">
            <w:pPr>
              <w:jc w:val="center"/>
            </w:pPr>
            <w:r>
              <w:rPr>
                <w:sz w:val="20"/>
                <w:szCs w:val="20"/>
              </w:rPr>
              <w:t>18.7%</w:t>
            </w:r>
          </w:p>
        </w:tc>
        <w:tc>
          <w:tcPr>
            <w:tcW w:w="1215" w:type="dxa"/>
            <w:tcBorders>
              <w:bottom w:val="single" w:sz="8" w:space="0" w:color="000000"/>
              <w:right w:val="single" w:sz="8" w:space="0" w:color="000000"/>
            </w:tcBorders>
            <w:tcMar>
              <w:top w:w="100" w:type="dxa"/>
              <w:left w:w="100" w:type="dxa"/>
              <w:bottom w:w="100" w:type="dxa"/>
              <w:right w:w="100" w:type="dxa"/>
            </w:tcMar>
          </w:tcPr>
          <w:p w14:paraId="0769505D" w14:textId="77777777" w:rsidR="00875BC3" w:rsidRDefault="007918C5">
            <w:pPr>
              <w:jc w:val="center"/>
            </w:pPr>
            <w:r>
              <w:rPr>
                <w:sz w:val="20"/>
                <w:szCs w:val="20"/>
              </w:rPr>
              <w:t>26.6%</w:t>
            </w:r>
          </w:p>
        </w:tc>
      </w:tr>
      <w:tr w:rsidR="00875BC3" w14:paraId="72A00304" w14:textId="77777777">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6B2660" w14:textId="77777777" w:rsidR="00875BC3" w:rsidRDefault="007918C5">
            <w:r>
              <w:t>Multi-Family Buildings, more than 20 units</w:t>
            </w:r>
          </w:p>
        </w:tc>
        <w:tc>
          <w:tcPr>
            <w:tcW w:w="1425" w:type="dxa"/>
            <w:tcBorders>
              <w:bottom w:val="single" w:sz="8" w:space="0" w:color="000000"/>
              <w:right w:val="single" w:sz="8" w:space="0" w:color="000000"/>
            </w:tcBorders>
            <w:tcMar>
              <w:top w:w="100" w:type="dxa"/>
              <w:left w:w="100" w:type="dxa"/>
              <w:bottom w:w="100" w:type="dxa"/>
              <w:right w:w="100" w:type="dxa"/>
            </w:tcMar>
          </w:tcPr>
          <w:p w14:paraId="0EAC0253" w14:textId="77777777" w:rsidR="00875BC3" w:rsidRDefault="007918C5">
            <w:pPr>
              <w:jc w:val="center"/>
            </w:pPr>
            <w:r>
              <w:rPr>
                <w:sz w:val="20"/>
                <w:szCs w:val="20"/>
              </w:rPr>
              <w:t>16.3%</w:t>
            </w:r>
          </w:p>
        </w:tc>
        <w:tc>
          <w:tcPr>
            <w:tcW w:w="1155" w:type="dxa"/>
            <w:tcBorders>
              <w:bottom w:val="single" w:sz="8" w:space="0" w:color="000000"/>
              <w:right w:val="single" w:sz="8" w:space="0" w:color="000000"/>
            </w:tcBorders>
            <w:tcMar>
              <w:top w:w="100" w:type="dxa"/>
              <w:left w:w="100" w:type="dxa"/>
              <w:bottom w:w="100" w:type="dxa"/>
              <w:right w:w="100" w:type="dxa"/>
            </w:tcMar>
          </w:tcPr>
          <w:p w14:paraId="77E1EEA2" w14:textId="77777777" w:rsidR="00875BC3" w:rsidRDefault="007918C5">
            <w:pPr>
              <w:jc w:val="center"/>
            </w:pPr>
            <w:r>
              <w:rPr>
                <w:sz w:val="20"/>
                <w:szCs w:val="20"/>
              </w:rPr>
              <w:t>18.0%</w:t>
            </w:r>
          </w:p>
        </w:tc>
        <w:tc>
          <w:tcPr>
            <w:tcW w:w="1170" w:type="dxa"/>
            <w:tcBorders>
              <w:bottom w:val="single" w:sz="8" w:space="0" w:color="000000"/>
              <w:right w:val="single" w:sz="8" w:space="0" w:color="000000"/>
            </w:tcBorders>
            <w:tcMar>
              <w:top w:w="100" w:type="dxa"/>
              <w:left w:w="100" w:type="dxa"/>
              <w:bottom w:w="100" w:type="dxa"/>
              <w:right w:w="100" w:type="dxa"/>
            </w:tcMar>
          </w:tcPr>
          <w:p w14:paraId="318CBDCE" w14:textId="77777777" w:rsidR="00875BC3" w:rsidRDefault="007918C5">
            <w:pPr>
              <w:jc w:val="center"/>
            </w:pPr>
            <w:r>
              <w:rPr>
                <w:sz w:val="20"/>
                <w:szCs w:val="20"/>
              </w:rPr>
              <w:t>11.3%</w:t>
            </w:r>
          </w:p>
        </w:tc>
        <w:tc>
          <w:tcPr>
            <w:tcW w:w="1155" w:type="dxa"/>
            <w:tcBorders>
              <w:bottom w:val="single" w:sz="8" w:space="0" w:color="000000"/>
              <w:right w:val="single" w:sz="8" w:space="0" w:color="000000"/>
            </w:tcBorders>
            <w:tcMar>
              <w:top w:w="100" w:type="dxa"/>
              <w:left w:w="100" w:type="dxa"/>
              <w:bottom w:w="100" w:type="dxa"/>
              <w:right w:w="100" w:type="dxa"/>
            </w:tcMar>
          </w:tcPr>
          <w:p w14:paraId="7F5A5289" w14:textId="77777777" w:rsidR="00875BC3" w:rsidRDefault="007918C5">
            <w:pPr>
              <w:jc w:val="center"/>
            </w:pPr>
            <w:r>
              <w:rPr>
                <w:sz w:val="20"/>
                <w:szCs w:val="20"/>
              </w:rPr>
              <w:t>7.8%</w:t>
            </w:r>
          </w:p>
        </w:tc>
        <w:tc>
          <w:tcPr>
            <w:tcW w:w="1170" w:type="dxa"/>
            <w:tcBorders>
              <w:bottom w:val="single" w:sz="8" w:space="0" w:color="000000"/>
              <w:right w:val="single" w:sz="8" w:space="0" w:color="000000"/>
            </w:tcBorders>
            <w:tcMar>
              <w:top w:w="100" w:type="dxa"/>
              <w:left w:w="100" w:type="dxa"/>
              <w:bottom w:w="100" w:type="dxa"/>
              <w:right w:w="100" w:type="dxa"/>
            </w:tcMar>
          </w:tcPr>
          <w:p w14:paraId="471D55A5" w14:textId="77777777" w:rsidR="00875BC3" w:rsidRDefault="007918C5">
            <w:pPr>
              <w:jc w:val="center"/>
            </w:pPr>
            <w:r>
              <w:rPr>
                <w:sz w:val="20"/>
                <w:szCs w:val="20"/>
              </w:rPr>
              <w:t>12.1%</w:t>
            </w:r>
          </w:p>
        </w:tc>
        <w:tc>
          <w:tcPr>
            <w:tcW w:w="1215" w:type="dxa"/>
            <w:tcBorders>
              <w:bottom w:val="single" w:sz="8" w:space="0" w:color="000000"/>
              <w:right w:val="single" w:sz="8" w:space="0" w:color="000000"/>
            </w:tcBorders>
            <w:tcMar>
              <w:top w:w="100" w:type="dxa"/>
              <w:left w:w="100" w:type="dxa"/>
              <w:bottom w:w="100" w:type="dxa"/>
              <w:right w:w="100" w:type="dxa"/>
            </w:tcMar>
          </w:tcPr>
          <w:p w14:paraId="4B6B68CB" w14:textId="77777777" w:rsidR="00875BC3" w:rsidRDefault="007918C5">
            <w:pPr>
              <w:jc w:val="center"/>
            </w:pPr>
            <w:r>
              <w:rPr>
                <w:sz w:val="20"/>
                <w:szCs w:val="20"/>
              </w:rPr>
              <w:t>14.1%</w:t>
            </w:r>
          </w:p>
        </w:tc>
      </w:tr>
      <w:tr w:rsidR="00875BC3" w14:paraId="39E6BB38" w14:textId="77777777">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A0B765" w14:textId="77777777" w:rsidR="00875BC3" w:rsidRDefault="007918C5">
            <w:r>
              <w:t>Built before 1970</w:t>
            </w:r>
          </w:p>
        </w:tc>
        <w:tc>
          <w:tcPr>
            <w:tcW w:w="1425" w:type="dxa"/>
            <w:tcBorders>
              <w:bottom w:val="single" w:sz="8" w:space="0" w:color="000000"/>
              <w:right w:val="single" w:sz="8" w:space="0" w:color="000000"/>
            </w:tcBorders>
            <w:tcMar>
              <w:top w:w="100" w:type="dxa"/>
              <w:left w:w="100" w:type="dxa"/>
              <w:bottom w:w="100" w:type="dxa"/>
              <w:right w:w="100" w:type="dxa"/>
            </w:tcMar>
          </w:tcPr>
          <w:p w14:paraId="53A8A323" w14:textId="77777777" w:rsidR="00875BC3" w:rsidRDefault="007918C5">
            <w:pPr>
              <w:jc w:val="center"/>
            </w:pPr>
            <w:r>
              <w:rPr>
                <w:sz w:val="20"/>
                <w:szCs w:val="20"/>
              </w:rPr>
              <w:t>55.1%</w:t>
            </w:r>
          </w:p>
        </w:tc>
        <w:tc>
          <w:tcPr>
            <w:tcW w:w="1155" w:type="dxa"/>
            <w:tcBorders>
              <w:bottom w:val="single" w:sz="8" w:space="0" w:color="000000"/>
              <w:right w:val="single" w:sz="8" w:space="0" w:color="000000"/>
            </w:tcBorders>
            <w:tcMar>
              <w:top w:w="100" w:type="dxa"/>
              <w:left w:w="100" w:type="dxa"/>
              <w:bottom w:w="100" w:type="dxa"/>
              <w:right w:w="100" w:type="dxa"/>
            </w:tcMar>
          </w:tcPr>
          <w:p w14:paraId="078762E4" w14:textId="77777777" w:rsidR="00875BC3" w:rsidRDefault="007918C5">
            <w:pPr>
              <w:jc w:val="center"/>
            </w:pPr>
            <w:r>
              <w:rPr>
                <w:sz w:val="20"/>
                <w:szCs w:val="20"/>
              </w:rPr>
              <w:t>62.1%</w:t>
            </w:r>
          </w:p>
        </w:tc>
        <w:tc>
          <w:tcPr>
            <w:tcW w:w="1170" w:type="dxa"/>
            <w:tcBorders>
              <w:bottom w:val="single" w:sz="8" w:space="0" w:color="000000"/>
              <w:right w:val="single" w:sz="8" w:space="0" w:color="000000"/>
            </w:tcBorders>
            <w:tcMar>
              <w:top w:w="100" w:type="dxa"/>
              <w:left w:w="100" w:type="dxa"/>
              <w:bottom w:w="100" w:type="dxa"/>
              <w:right w:w="100" w:type="dxa"/>
            </w:tcMar>
          </w:tcPr>
          <w:p w14:paraId="6FE96AE4" w14:textId="77777777" w:rsidR="00875BC3" w:rsidRDefault="007918C5">
            <w:pPr>
              <w:jc w:val="center"/>
            </w:pPr>
            <w:r>
              <w:rPr>
                <w:sz w:val="20"/>
                <w:szCs w:val="20"/>
              </w:rPr>
              <w:t>48.6%</w:t>
            </w:r>
          </w:p>
        </w:tc>
        <w:tc>
          <w:tcPr>
            <w:tcW w:w="1155" w:type="dxa"/>
            <w:tcBorders>
              <w:bottom w:val="single" w:sz="8" w:space="0" w:color="000000"/>
              <w:right w:val="single" w:sz="8" w:space="0" w:color="000000"/>
            </w:tcBorders>
            <w:tcMar>
              <w:top w:w="100" w:type="dxa"/>
              <w:left w:w="100" w:type="dxa"/>
              <w:bottom w:w="100" w:type="dxa"/>
              <w:right w:w="100" w:type="dxa"/>
            </w:tcMar>
          </w:tcPr>
          <w:p w14:paraId="68B69128" w14:textId="77777777" w:rsidR="00875BC3" w:rsidRDefault="007918C5">
            <w:pPr>
              <w:jc w:val="center"/>
            </w:pPr>
            <w:r>
              <w:rPr>
                <w:sz w:val="20"/>
                <w:szCs w:val="20"/>
              </w:rPr>
              <w:t>71.8%</w:t>
            </w:r>
          </w:p>
        </w:tc>
        <w:tc>
          <w:tcPr>
            <w:tcW w:w="1170" w:type="dxa"/>
            <w:tcBorders>
              <w:bottom w:val="single" w:sz="8" w:space="0" w:color="000000"/>
              <w:right w:val="single" w:sz="8" w:space="0" w:color="000000"/>
            </w:tcBorders>
            <w:tcMar>
              <w:top w:w="100" w:type="dxa"/>
              <w:left w:w="100" w:type="dxa"/>
              <w:bottom w:w="100" w:type="dxa"/>
              <w:right w:w="100" w:type="dxa"/>
            </w:tcMar>
          </w:tcPr>
          <w:p w14:paraId="3EEB8DC3" w14:textId="77777777" w:rsidR="00875BC3" w:rsidRDefault="007918C5">
            <w:pPr>
              <w:jc w:val="center"/>
            </w:pPr>
            <w:r>
              <w:rPr>
                <w:sz w:val="20"/>
                <w:szCs w:val="20"/>
              </w:rPr>
              <w:t>47.7%</w:t>
            </w:r>
          </w:p>
        </w:tc>
        <w:tc>
          <w:tcPr>
            <w:tcW w:w="1215" w:type="dxa"/>
            <w:tcBorders>
              <w:bottom w:val="single" w:sz="8" w:space="0" w:color="000000"/>
              <w:right w:val="single" w:sz="8" w:space="0" w:color="000000"/>
            </w:tcBorders>
            <w:tcMar>
              <w:top w:w="100" w:type="dxa"/>
              <w:left w:w="100" w:type="dxa"/>
              <w:bottom w:w="100" w:type="dxa"/>
              <w:right w:w="100" w:type="dxa"/>
            </w:tcMar>
          </w:tcPr>
          <w:p w14:paraId="6DAA50B2" w14:textId="77777777" w:rsidR="00875BC3" w:rsidRDefault="007918C5">
            <w:pPr>
              <w:jc w:val="center"/>
            </w:pPr>
            <w:r>
              <w:rPr>
                <w:sz w:val="20"/>
                <w:szCs w:val="20"/>
              </w:rPr>
              <w:t>20.5%</w:t>
            </w:r>
          </w:p>
        </w:tc>
      </w:tr>
      <w:tr w:rsidR="00875BC3" w14:paraId="55067E57" w14:textId="77777777">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9253D" w14:textId="77777777" w:rsidR="00875BC3" w:rsidRDefault="007918C5">
            <w:r>
              <w:t>Overcrowded</w:t>
            </w:r>
          </w:p>
          <w:p w14:paraId="6B068374" w14:textId="77777777" w:rsidR="00875BC3" w:rsidRDefault="007918C5">
            <w:r>
              <w:t>(occupants per room &gt;1)</w:t>
            </w:r>
          </w:p>
        </w:tc>
        <w:tc>
          <w:tcPr>
            <w:tcW w:w="1425" w:type="dxa"/>
            <w:tcBorders>
              <w:bottom w:val="single" w:sz="8" w:space="0" w:color="000000"/>
              <w:right w:val="single" w:sz="8" w:space="0" w:color="000000"/>
            </w:tcBorders>
            <w:tcMar>
              <w:top w:w="100" w:type="dxa"/>
              <w:left w:w="100" w:type="dxa"/>
              <w:bottom w:w="100" w:type="dxa"/>
              <w:right w:w="100" w:type="dxa"/>
            </w:tcMar>
          </w:tcPr>
          <w:p w14:paraId="73EDE15D" w14:textId="77777777" w:rsidR="00875BC3" w:rsidRDefault="007918C5">
            <w:pPr>
              <w:jc w:val="center"/>
            </w:pPr>
            <w:r>
              <w:rPr>
                <w:sz w:val="20"/>
                <w:szCs w:val="20"/>
              </w:rPr>
              <w:t>3.2%</w:t>
            </w:r>
          </w:p>
        </w:tc>
        <w:tc>
          <w:tcPr>
            <w:tcW w:w="1155" w:type="dxa"/>
            <w:tcBorders>
              <w:bottom w:val="single" w:sz="8" w:space="0" w:color="000000"/>
              <w:right w:val="single" w:sz="8" w:space="0" w:color="000000"/>
            </w:tcBorders>
            <w:tcMar>
              <w:top w:w="100" w:type="dxa"/>
              <w:left w:w="100" w:type="dxa"/>
              <w:bottom w:w="100" w:type="dxa"/>
              <w:right w:w="100" w:type="dxa"/>
            </w:tcMar>
          </w:tcPr>
          <w:p w14:paraId="07EBA01B" w14:textId="77777777" w:rsidR="00875BC3" w:rsidRDefault="007918C5">
            <w:pPr>
              <w:jc w:val="center"/>
            </w:pPr>
            <w:r>
              <w:rPr>
                <w:sz w:val="20"/>
                <w:szCs w:val="20"/>
              </w:rPr>
              <w:t>3.0%</w:t>
            </w:r>
          </w:p>
        </w:tc>
        <w:tc>
          <w:tcPr>
            <w:tcW w:w="1170" w:type="dxa"/>
            <w:tcBorders>
              <w:bottom w:val="single" w:sz="8" w:space="0" w:color="000000"/>
              <w:right w:val="single" w:sz="8" w:space="0" w:color="000000"/>
            </w:tcBorders>
            <w:tcMar>
              <w:top w:w="100" w:type="dxa"/>
              <w:left w:w="100" w:type="dxa"/>
              <w:bottom w:w="100" w:type="dxa"/>
              <w:right w:w="100" w:type="dxa"/>
            </w:tcMar>
          </w:tcPr>
          <w:p w14:paraId="7569CDE6" w14:textId="77777777" w:rsidR="00875BC3" w:rsidRDefault="007918C5">
            <w:pPr>
              <w:jc w:val="center"/>
            </w:pPr>
            <w:r>
              <w:rPr>
                <w:sz w:val="20"/>
                <w:szCs w:val="20"/>
              </w:rPr>
              <w:t>5.7%</w:t>
            </w:r>
          </w:p>
        </w:tc>
        <w:tc>
          <w:tcPr>
            <w:tcW w:w="1155" w:type="dxa"/>
            <w:tcBorders>
              <w:bottom w:val="single" w:sz="8" w:space="0" w:color="000000"/>
              <w:right w:val="single" w:sz="8" w:space="0" w:color="000000"/>
            </w:tcBorders>
            <w:tcMar>
              <w:top w:w="100" w:type="dxa"/>
              <w:left w:w="100" w:type="dxa"/>
              <w:bottom w:w="100" w:type="dxa"/>
              <w:right w:w="100" w:type="dxa"/>
            </w:tcMar>
          </w:tcPr>
          <w:p w14:paraId="770CE331" w14:textId="77777777" w:rsidR="00875BC3" w:rsidRDefault="007918C5">
            <w:pPr>
              <w:jc w:val="center"/>
            </w:pPr>
            <w:r>
              <w:rPr>
                <w:sz w:val="20"/>
                <w:szCs w:val="20"/>
              </w:rPr>
              <w:t>1.9%</w:t>
            </w:r>
          </w:p>
        </w:tc>
        <w:tc>
          <w:tcPr>
            <w:tcW w:w="1170" w:type="dxa"/>
            <w:tcBorders>
              <w:bottom w:val="single" w:sz="8" w:space="0" w:color="000000"/>
              <w:right w:val="single" w:sz="8" w:space="0" w:color="000000"/>
            </w:tcBorders>
            <w:tcMar>
              <w:top w:w="100" w:type="dxa"/>
              <w:left w:w="100" w:type="dxa"/>
              <w:bottom w:w="100" w:type="dxa"/>
              <w:right w:w="100" w:type="dxa"/>
            </w:tcMar>
          </w:tcPr>
          <w:p w14:paraId="4474CBB5" w14:textId="77777777" w:rsidR="00875BC3" w:rsidRDefault="007918C5">
            <w:pPr>
              <w:jc w:val="center"/>
            </w:pPr>
            <w:r>
              <w:rPr>
                <w:sz w:val="20"/>
                <w:szCs w:val="20"/>
              </w:rPr>
              <w:t>8.1%</w:t>
            </w:r>
          </w:p>
        </w:tc>
        <w:tc>
          <w:tcPr>
            <w:tcW w:w="1215" w:type="dxa"/>
            <w:tcBorders>
              <w:bottom w:val="single" w:sz="8" w:space="0" w:color="000000"/>
              <w:right w:val="single" w:sz="8" w:space="0" w:color="000000"/>
            </w:tcBorders>
            <w:tcMar>
              <w:top w:w="100" w:type="dxa"/>
              <w:left w:w="100" w:type="dxa"/>
              <w:bottom w:w="100" w:type="dxa"/>
              <w:right w:w="100" w:type="dxa"/>
            </w:tcMar>
          </w:tcPr>
          <w:p w14:paraId="4FB7B0CD" w14:textId="77777777" w:rsidR="00875BC3" w:rsidRDefault="007918C5">
            <w:pPr>
              <w:jc w:val="center"/>
            </w:pPr>
            <w:r>
              <w:rPr>
                <w:sz w:val="20"/>
                <w:szCs w:val="20"/>
              </w:rPr>
              <w:t>5.3%</w:t>
            </w:r>
          </w:p>
        </w:tc>
      </w:tr>
    </w:tbl>
    <w:p w14:paraId="7529AF96" w14:textId="77777777" w:rsidR="00875BC3" w:rsidRPr="008224B9" w:rsidRDefault="007918C5">
      <w:pPr>
        <w:rPr>
          <w:sz w:val="16"/>
          <w:szCs w:val="18"/>
        </w:rPr>
      </w:pPr>
      <w:r w:rsidRPr="008224B9">
        <w:rPr>
          <w:sz w:val="16"/>
          <w:szCs w:val="18"/>
        </w:rPr>
        <w:t>Data Source:  ACS 2010-2014 5 year Estimates</w:t>
      </w:r>
    </w:p>
    <w:p w14:paraId="5B42017B" w14:textId="77777777" w:rsidR="00875BC3" w:rsidRDefault="007918C5">
      <w:r>
        <w:t xml:space="preserve"> </w:t>
      </w:r>
    </w:p>
    <w:p w14:paraId="0E3FAC6B" w14:textId="77777777" w:rsidR="00875BC3" w:rsidRDefault="007918C5">
      <w:r>
        <w:t xml:space="preserve"> </w:t>
      </w:r>
    </w:p>
    <w:p w14:paraId="3BC64B74" w14:textId="77777777" w:rsidR="007918C5" w:rsidRDefault="007918C5">
      <w:r>
        <w:br w:type="page"/>
      </w:r>
    </w:p>
    <w:p w14:paraId="41497F07" w14:textId="728D6A6D" w:rsidR="00875BC3" w:rsidRPr="009B6F33" w:rsidRDefault="007918C5">
      <w:pPr>
        <w:rPr>
          <w:rFonts w:ascii="Cambria" w:hAnsi="Cambria"/>
        </w:rPr>
      </w:pPr>
      <w:r w:rsidRPr="009B6F33">
        <w:rPr>
          <w:rFonts w:ascii="Cambria" w:hAnsi="Cambria"/>
        </w:rPr>
        <w:lastRenderedPageBreak/>
        <w:t xml:space="preserve">According to analysis of </w:t>
      </w:r>
      <w:proofErr w:type="spellStart"/>
      <w:r w:rsidRPr="009B6F33">
        <w:rPr>
          <w:rFonts w:ascii="Cambria" w:hAnsi="Cambria"/>
        </w:rPr>
        <w:t>CoStar</w:t>
      </w:r>
      <w:proofErr w:type="spellEnd"/>
      <w:r w:rsidRPr="009B6F33">
        <w:rPr>
          <w:rFonts w:ascii="Cambria" w:hAnsi="Cambria"/>
        </w:rPr>
        <w:t xml:space="preserve"> data on multifamily property sales, over the past 5 years, there have been 50 buildings (with over 1,300 units) sold. These b</w:t>
      </w:r>
      <w:r w:rsidR="009B6F33">
        <w:rPr>
          <w:rFonts w:ascii="Cambria" w:hAnsi="Cambria"/>
        </w:rPr>
        <w:t>uildings were overwhelmingly “2-</w:t>
      </w:r>
      <w:r w:rsidRPr="009B6F33">
        <w:rPr>
          <w:rFonts w:ascii="Cambria" w:hAnsi="Cambria"/>
        </w:rPr>
        <w:t xml:space="preserve">star” rated (just above obsolete) and had moderate and low rents. Most were small buildings (under 10 units). </w:t>
      </w:r>
    </w:p>
    <w:p w14:paraId="3B9AF9DF" w14:textId="77777777" w:rsidR="00875BC3" w:rsidRDefault="00875BC3"/>
    <w:p w14:paraId="4370C10B" w14:textId="77777777" w:rsidR="00875BC3" w:rsidRDefault="007918C5">
      <w:r>
        <w:rPr>
          <w:b/>
        </w:rPr>
        <w:t>Multifamily buildings sold 2011-2016 in corridor</w:t>
      </w:r>
    </w:p>
    <w:p w14:paraId="57AAA573" w14:textId="77777777" w:rsidR="00875BC3" w:rsidRDefault="007918C5">
      <w:r>
        <w:rPr>
          <w:noProof/>
        </w:rPr>
        <w:drawing>
          <wp:inline distT="114300" distB="114300" distL="114300" distR="114300" wp14:anchorId="00FE3A38" wp14:editId="340C38CE">
            <wp:extent cx="4238786" cy="2605088"/>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4238786" cy="2605088"/>
                    </a:xfrm>
                    <a:prstGeom prst="rect">
                      <a:avLst/>
                    </a:prstGeom>
                    <a:ln/>
                  </pic:spPr>
                </pic:pic>
              </a:graphicData>
            </a:graphic>
          </wp:inline>
        </w:drawing>
      </w:r>
    </w:p>
    <w:p w14:paraId="489A208B" w14:textId="77777777" w:rsidR="00875BC3" w:rsidRDefault="00875BC3"/>
    <w:p w14:paraId="5BDF4052" w14:textId="77777777" w:rsidR="00875BC3" w:rsidRDefault="007918C5">
      <w:r>
        <w:rPr>
          <w:noProof/>
        </w:rPr>
        <w:drawing>
          <wp:inline distT="114300" distB="114300" distL="114300" distR="114300" wp14:anchorId="53EC1519" wp14:editId="22F23265">
            <wp:extent cx="4090988" cy="2441199"/>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4090988" cy="2441199"/>
                    </a:xfrm>
                    <a:prstGeom prst="rect">
                      <a:avLst/>
                    </a:prstGeom>
                    <a:ln/>
                  </pic:spPr>
                </pic:pic>
              </a:graphicData>
            </a:graphic>
          </wp:inline>
        </w:drawing>
      </w:r>
    </w:p>
    <w:p w14:paraId="1EB3831A" w14:textId="77777777" w:rsidR="00875BC3" w:rsidRDefault="00875BC3"/>
    <w:p w14:paraId="67B932D7" w14:textId="77777777" w:rsidR="007918C5" w:rsidRDefault="007918C5">
      <w:r>
        <w:br w:type="page"/>
      </w:r>
    </w:p>
    <w:p w14:paraId="46E05D5D" w14:textId="77777777" w:rsidR="00875BC3" w:rsidRPr="009B6F33" w:rsidRDefault="007918C5">
      <w:pPr>
        <w:rPr>
          <w:rFonts w:ascii="Cambria" w:hAnsi="Cambria"/>
          <w:b/>
        </w:rPr>
      </w:pPr>
      <w:r w:rsidRPr="009B6F33">
        <w:rPr>
          <w:rFonts w:ascii="Cambria" w:hAnsi="Cambria"/>
          <w:b/>
        </w:rPr>
        <w:lastRenderedPageBreak/>
        <w:t xml:space="preserve">3) Cost Burden </w:t>
      </w:r>
    </w:p>
    <w:p w14:paraId="286A8AE9" w14:textId="77777777" w:rsidR="00875BC3" w:rsidRPr="009B6F33" w:rsidRDefault="007918C5">
      <w:pPr>
        <w:rPr>
          <w:rFonts w:ascii="Cambria" w:hAnsi="Cambria"/>
        </w:rPr>
      </w:pPr>
      <w:r w:rsidRPr="009B6F33">
        <w:rPr>
          <w:rFonts w:ascii="Cambria" w:hAnsi="Cambria"/>
        </w:rPr>
        <w:t xml:space="preserve">Households that are already cost-burdened--that is, paying more than 30% of their monthly income on housing--are more likely to be displaced by rising housing costs with redevelopment on the corridor. Cost burdens are greater than citywide figures for renters along Powell-Division, although the proportion of cost-burdened renters declines with moves eastward along the corridor. </w:t>
      </w:r>
    </w:p>
    <w:p w14:paraId="1A5FC31F" w14:textId="77777777" w:rsidR="00875BC3" w:rsidRPr="009B6F33" w:rsidRDefault="00875BC3">
      <w:pPr>
        <w:rPr>
          <w:rFonts w:ascii="Cambria" w:hAnsi="Cambria"/>
        </w:rPr>
      </w:pPr>
    </w:p>
    <w:p w14:paraId="66CD31C2" w14:textId="77777777" w:rsidR="00875BC3" w:rsidRPr="009B6F33" w:rsidRDefault="007918C5">
      <w:pPr>
        <w:rPr>
          <w:rFonts w:ascii="Cambria" w:hAnsi="Cambria"/>
        </w:rPr>
      </w:pPr>
      <w:r w:rsidRPr="009B6F33">
        <w:rPr>
          <w:rFonts w:ascii="Cambria" w:hAnsi="Cambria"/>
        </w:rPr>
        <w:t xml:space="preserve">The cost burden of the low-income households (below 80% AMFI) is much higher than that of all income level. Regardless of tenure status, the households living in the corridor are likely to remain cost burdened. 69.8% of low-income renters are cost burdened in the corridor. Out of 63,851 cost burdened renters in the County, 27% are concentrated in the corridor. </w:t>
      </w:r>
    </w:p>
    <w:p w14:paraId="68FAD3D7" w14:textId="77777777" w:rsidR="00875BC3" w:rsidRDefault="00875BC3"/>
    <w:p w14:paraId="799DBC50" w14:textId="77777777" w:rsidR="00875BC3" w:rsidRDefault="00875BC3"/>
    <w:p w14:paraId="334E47C4" w14:textId="77777777" w:rsidR="00875BC3" w:rsidRDefault="007918C5">
      <w:r>
        <w:rPr>
          <w:b/>
        </w:rPr>
        <w:t xml:space="preserve">Cost Burdened Households </w:t>
      </w:r>
      <w:proofErr w:type="gramStart"/>
      <w:r>
        <w:rPr>
          <w:b/>
        </w:rPr>
        <w:t>By</w:t>
      </w:r>
      <w:proofErr w:type="gramEnd"/>
      <w:r>
        <w:rPr>
          <w:b/>
        </w:rPr>
        <w:t xml:space="preserve"> Income</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885"/>
        <w:gridCol w:w="945"/>
        <w:gridCol w:w="1440"/>
        <w:gridCol w:w="1140"/>
        <w:gridCol w:w="1230"/>
        <w:gridCol w:w="1380"/>
        <w:gridCol w:w="1305"/>
        <w:gridCol w:w="1380"/>
      </w:tblGrid>
      <w:tr w:rsidR="00875BC3" w14:paraId="3EF5672B" w14:textId="77777777">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40A09" w14:textId="77777777" w:rsidR="00875BC3" w:rsidRDefault="00875BC3">
            <w:pPr>
              <w:widowControl w:val="0"/>
            </w:pPr>
          </w:p>
        </w:tc>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1E152" w14:textId="77777777" w:rsidR="00875BC3" w:rsidRDefault="00875BC3">
            <w:pPr>
              <w:widowControl w:val="0"/>
            </w:pP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4DEFC4" w14:textId="77777777" w:rsidR="00875BC3" w:rsidRDefault="007918C5">
            <w:pPr>
              <w:jc w:val="center"/>
            </w:pPr>
            <w:r>
              <w:rPr>
                <w:b/>
              </w:rPr>
              <w:t>Multnomah</w:t>
            </w:r>
          </w:p>
        </w:tc>
        <w:tc>
          <w:tcPr>
            <w:tcW w:w="11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F3F80A" w14:textId="77777777" w:rsidR="00875BC3" w:rsidRDefault="007918C5">
            <w:pPr>
              <w:jc w:val="center"/>
            </w:pPr>
            <w:r>
              <w:rPr>
                <w:b/>
              </w:rPr>
              <w:t>Portland</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7F5633" w14:textId="77777777" w:rsidR="00875BC3" w:rsidRDefault="007918C5">
            <w:pPr>
              <w:jc w:val="center"/>
            </w:pPr>
            <w:r>
              <w:rPr>
                <w:b/>
              </w:rPr>
              <w:t>Corridor</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1AAFB4" w14:textId="77777777" w:rsidR="00875BC3" w:rsidRDefault="007918C5">
            <w:pPr>
              <w:jc w:val="center"/>
            </w:pPr>
            <w:r>
              <w:rPr>
                <w:b/>
              </w:rPr>
              <w:t>Central Eastside</w:t>
            </w:r>
          </w:p>
        </w:tc>
        <w:tc>
          <w:tcPr>
            <w:tcW w:w="13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D369AD" w14:textId="77777777" w:rsidR="00875BC3" w:rsidRDefault="007918C5">
            <w:pPr>
              <w:jc w:val="center"/>
            </w:pPr>
            <w:r>
              <w:rPr>
                <w:b/>
              </w:rPr>
              <w:t>East Portland</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89F128" w14:textId="77777777" w:rsidR="00875BC3" w:rsidRDefault="007918C5">
            <w:pPr>
              <w:jc w:val="center"/>
            </w:pPr>
            <w:r>
              <w:rPr>
                <w:b/>
              </w:rPr>
              <w:t>Gresham West</w:t>
            </w:r>
          </w:p>
        </w:tc>
      </w:tr>
      <w:tr w:rsidR="00875BC3" w14:paraId="0611677A" w14:textId="77777777">
        <w:trPr>
          <w:trHeight w:val="440"/>
        </w:trPr>
        <w:tc>
          <w:tcPr>
            <w:tcW w:w="88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6783BC14" w14:textId="77777777" w:rsidR="00875BC3" w:rsidRDefault="007918C5">
            <w:r>
              <w:t>Owner</w:t>
            </w:r>
          </w:p>
        </w:tc>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334D7" w14:textId="77777777" w:rsidR="00875BC3" w:rsidRDefault="007918C5">
            <w:r>
              <w:t>All Income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EF353" w14:textId="77777777" w:rsidR="00875BC3" w:rsidRDefault="007918C5">
            <w:pPr>
              <w:jc w:val="center"/>
            </w:pPr>
            <w:r>
              <w:t>33.1%</w:t>
            </w:r>
          </w:p>
        </w:tc>
        <w:tc>
          <w:tcPr>
            <w:tcW w:w="11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E97B1D" w14:textId="77777777" w:rsidR="00875BC3" w:rsidRDefault="007918C5">
            <w:pPr>
              <w:jc w:val="center"/>
            </w:pPr>
            <w:r>
              <w:t>33.3%</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24D7B6" w14:textId="77777777" w:rsidR="00875BC3" w:rsidRDefault="007918C5">
            <w:pPr>
              <w:jc w:val="center"/>
            </w:pPr>
            <w:r>
              <w:t>35.2%</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74223B" w14:textId="77777777" w:rsidR="00875BC3" w:rsidRDefault="007918C5">
            <w:pPr>
              <w:jc w:val="center"/>
            </w:pPr>
            <w:r>
              <w:t>31.4%</w:t>
            </w:r>
          </w:p>
        </w:tc>
        <w:tc>
          <w:tcPr>
            <w:tcW w:w="13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52055B" w14:textId="77777777" w:rsidR="00875BC3" w:rsidRDefault="007918C5">
            <w:pPr>
              <w:jc w:val="center"/>
            </w:pPr>
            <w:r>
              <w:t>39.8%</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A43852" w14:textId="77777777" w:rsidR="00875BC3" w:rsidRDefault="007918C5">
            <w:pPr>
              <w:jc w:val="center"/>
            </w:pPr>
            <w:r>
              <w:t>32.4%</w:t>
            </w:r>
          </w:p>
        </w:tc>
      </w:tr>
      <w:tr w:rsidR="00875BC3" w14:paraId="78356AE9" w14:textId="77777777">
        <w:trPr>
          <w:trHeight w:val="440"/>
        </w:trPr>
        <w:tc>
          <w:tcPr>
            <w:tcW w:w="88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BB63F2" w14:textId="77777777" w:rsidR="00875BC3" w:rsidRDefault="00875BC3">
            <w:pPr>
              <w:jc w:val="center"/>
            </w:pPr>
          </w:p>
        </w:tc>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F636B3" w14:textId="77777777" w:rsidR="00875BC3" w:rsidRDefault="007918C5">
            <w:r>
              <w:t>Low Income</w:t>
            </w:r>
          </w:p>
        </w:tc>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9D2734" w14:textId="77777777" w:rsidR="00875BC3" w:rsidRDefault="007918C5">
            <w:pPr>
              <w:jc w:val="center"/>
            </w:pPr>
            <w:r>
              <w:t>67.5%</w:t>
            </w:r>
          </w:p>
        </w:tc>
        <w:tc>
          <w:tcPr>
            <w:tcW w:w="1140" w:type="dxa"/>
            <w:tcBorders>
              <w:bottom w:val="single" w:sz="8" w:space="0" w:color="000000"/>
              <w:right w:val="single" w:sz="8" w:space="0" w:color="000000"/>
            </w:tcBorders>
            <w:tcMar>
              <w:top w:w="100" w:type="dxa"/>
              <w:left w:w="100" w:type="dxa"/>
              <w:bottom w:w="100" w:type="dxa"/>
              <w:right w:w="100" w:type="dxa"/>
            </w:tcMar>
          </w:tcPr>
          <w:p w14:paraId="02F5B5E2" w14:textId="77777777" w:rsidR="00875BC3" w:rsidRDefault="007918C5">
            <w:pPr>
              <w:jc w:val="center"/>
            </w:pPr>
            <w:r>
              <w:t>68.3%</w:t>
            </w:r>
          </w:p>
        </w:tc>
        <w:tc>
          <w:tcPr>
            <w:tcW w:w="1230" w:type="dxa"/>
            <w:tcBorders>
              <w:bottom w:val="single" w:sz="8" w:space="0" w:color="000000"/>
              <w:right w:val="single" w:sz="8" w:space="0" w:color="000000"/>
            </w:tcBorders>
            <w:tcMar>
              <w:top w:w="100" w:type="dxa"/>
              <w:left w:w="100" w:type="dxa"/>
              <w:bottom w:w="100" w:type="dxa"/>
              <w:right w:w="100" w:type="dxa"/>
            </w:tcMar>
          </w:tcPr>
          <w:p w14:paraId="274F573A" w14:textId="77777777" w:rsidR="00875BC3" w:rsidRDefault="007918C5">
            <w:pPr>
              <w:jc w:val="center"/>
            </w:pPr>
            <w:r>
              <w:t>66.4%</w:t>
            </w:r>
          </w:p>
        </w:tc>
        <w:tc>
          <w:tcPr>
            <w:tcW w:w="1380" w:type="dxa"/>
            <w:tcBorders>
              <w:bottom w:val="single" w:sz="8" w:space="0" w:color="000000"/>
              <w:right w:val="single" w:sz="8" w:space="0" w:color="000000"/>
            </w:tcBorders>
            <w:tcMar>
              <w:top w:w="100" w:type="dxa"/>
              <w:left w:w="100" w:type="dxa"/>
              <w:bottom w:w="100" w:type="dxa"/>
              <w:right w:w="100" w:type="dxa"/>
            </w:tcMar>
          </w:tcPr>
          <w:p w14:paraId="29D2016C" w14:textId="77777777" w:rsidR="00875BC3" w:rsidRDefault="007918C5">
            <w:pPr>
              <w:jc w:val="center"/>
            </w:pPr>
            <w:r>
              <w:t>68.9%</w:t>
            </w:r>
          </w:p>
        </w:tc>
        <w:tc>
          <w:tcPr>
            <w:tcW w:w="1305" w:type="dxa"/>
            <w:tcBorders>
              <w:bottom w:val="single" w:sz="8" w:space="0" w:color="000000"/>
              <w:right w:val="single" w:sz="8" w:space="0" w:color="000000"/>
            </w:tcBorders>
            <w:tcMar>
              <w:top w:w="100" w:type="dxa"/>
              <w:left w:w="100" w:type="dxa"/>
              <w:bottom w:w="100" w:type="dxa"/>
              <w:right w:w="100" w:type="dxa"/>
            </w:tcMar>
          </w:tcPr>
          <w:p w14:paraId="788D634C" w14:textId="77777777" w:rsidR="00875BC3" w:rsidRDefault="007918C5">
            <w:pPr>
              <w:jc w:val="center"/>
            </w:pPr>
            <w:r>
              <w:t>65.9%</w:t>
            </w:r>
          </w:p>
        </w:tc>
        <w:tc>
          <w:tcPr>
            <w:tcW w:w="1380" w:type="dxa"/>
            <w:tcBorders>
              <w:bottom w:val="single" w:sz="8" w:space="0" w:color="000000"/>
              <w:right w:val="single" w:sz="8" w:space="0" w:color="000000"/>
            </w:tcBorders>
            <w:tcMar>
              <w:top w:w="100" w:type="dxa"/>
              <w:left w:w="100" w:type="dxa"/>
              <w:bottom w:w="100" w:type="dxa"/>
              <w:right w:w="100" w:type="dxa"/>
            </w:tcMar>
          </w:tcPr>
          <w:p w14:paraId="63275D5C" w14:textId="77777777" w:rsidR="00875BC3" w:rsidRDefault="007918C5">
            <w:pPr>
              <w:jc w:val="center"/>
            </w:pPr>
            <w:r>
              <w:t>65.2%</w:t>
            </w:r>
          </w:p>
        </w:tc>
      </w:tr>
      <w:tr w:rsidR="00875BC3" w14:paraId="67F51EA5" w14:textId="77777777">
        <w:trPr>
          <w:trHeight w:val="440"/>
        </w:trPr>
        <w:tc>
          <w:tcPr>
            <w:tcW w:w="88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34535A57" w14:textId="77777777" w:rsidR="00875BC3" w:rsidRDefault="007918C5">
            <w:r>
              <w:t>Renter</w:t>
            </w:r>
          </w:p>
        </w:tc>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BD9272" w14:textId="77777777" w:rsidR="00875BC3" w:rsidRDefault="007918C5">
            <w:r>
              <w:t>All Income</w:t>
            </w:r>
          </w:p>
        </w:tc>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A80D43" w14:textId="77777777" w:rsidR="00875BC3" w:rsidRDefault="007918C5">
            <w:pPr>
              <w:jc w:val="center"/>
            </w:pPr>
            <w:r>
              <w:t>49.5%</w:t>
            </w:r>
          </w:p>
        </w:tc>
        <w:tc>
          <w:tcPr>
            <w:tcW w:w="1140" w:type="dxa"/>
            <w:tcBorders>
              <w:bottom w:val="single" w:sz="8" w:space="0" w:color="000000"/>
              <w:right w:val="single" w:sz="8" w:space="0" w:color="000000"/>
            </w:tcBorders>
            <w:tcMar>
              <w:top w:w="100" w:type="dxa"/>
              <w:left w:w="100" w:type="dxa"/>
              <w:bottom w:w="100" w:type="dxa"/>
              <w:right w:w="100" w:type="dxa"/>
            </w:tcMar>
          </w:tcPr>
          <w:p w14:paraId="3D1181E8" w14:textId="77777777" w:rsidR="00875BC3" w:rsidRDefault="007918C5">
            <w:pPr>
              <w:jc w:val="center"/>
            </w:pPr>
            <w:r>
              <w:t>49.2%</w:t>
            </w:r>
          </w:p>
        </w:tc>
        <w:tc>
          <w:tcPr>
            <w:tcW w:w="1230" w:type="dxa"/>
            <w:tcBorders>
              <w:bottom w:val="single" w:sz="8" w:space="0" w:color="000000"/>
              <w:right w:val="single" w:sz="8" w:space="0" w:color="000000"/>
            </w:tcBorders>
            <w:tcMar>
              <w:top w:w="100" w:type="dxa"/>
              <w:left w:w="100" w:type="dxa"/>
              <w:bottom w:w="100" w:type="dxa"/>
              <w:right w:w="100" w:type="dxa"/>
            </w:tcMar>
          </w:tcPr>
          <w:p w14:paraId="63B16E75" w14:textId="77777777" w:rsidR="00875BC3" w:rsidRDefault="007918C5">
            <w:pPr>
              <w:jc w:val="center"/>
            </w:pPr>
            <w:r>
              <w:t>53.1%</w:t>
            </w:r>
          </w:p>
        </w:tc>
        <w:tc>
          <w:tcPr>
            <w:tcW w:w="1380" w:type="dxa"/>
            <w:tcBorders>
              <w:bottom w:val="single" w:sz="8" w:space="0" w:color="000000"/>
              <w:right w:val="single" w:sz="8" w:space="0" w:color="000000"/>
            </w:tcBorders>
            <w:tcMar>
              <w:top w:w="100" w:type="dxa"/>
              <w:left w:w="100" w:type="dxa"/>
              <w:bottom w:w="100" w:type="dxa"/>
              <w:right w:w="100" w:type="dxa"/>
            </w:tcMar>
          </w:tcPr>
          <w:p w14:paraId="28E75BCB" w14:textId="77777777" w:rsidR="00875BC3" w:rsidRDefault="007918C5">
            <w:pPr>
              <w:jc w:val="center"/>
            </w:pPr>
            <w:r>
              <w:t>48.9%</w:t>
            </w:r>
          </w:p>
        </w:tc>
        <w:tc>
          <w:tcPr>
            <w:tcW w:w="1305" w:type="dxa"/>
            <w:tcBorders>
              <w:bottom w:val="single" w:sz="8" w:space="0" w:color="000000"/>
              <w:right w:val="single" w:sz="8" w:space="0" w:color="000000"/>
            </w:tcBorders>
            <w:tcMar>
              <w:top w:w="100" w:type="dxa"/>
              <w:left w:w="100" w:type="dxa"/>
              <w:bottom w:w="100" w:type="dxa"/>
              <w:right w:w="100" w:type="dxa"/>
            </w:tcMar>
          </w:tcPr>
          <w:p w14:paraId="4EB933B1" w14:textId="77777777" w:rsidR="00875BC3" w:rsidRDefault="007918C5">
            <w:pPr>
              <w:jc w:val="center"/>
            </w:pPr>
            <w:r>
              <w:t>55.7%</w:t>
            </w:r>
          </w:p>
        </w:tc>
        <w:tc>
          <w:tcPr>
            <w:tcW w:w="1380" w:type="dxa"/>
            <w:tcBorders>
              <w:bottom w:val="single" w:sz="8" w:space="0" w:color="000000"/>
              <w:right w:val="single" w:sz="8" w:space="0" w:color="000000"/>
            </w:tcBorders>
            <w:tcMar>
              <w:top w:w="100" w:type="dxa"/>
              <w:left w:w="100" w:type="dxa"/>
              <w:bottom w:w="100" w:type="dxa"/>
              <w:right w:w="100" w:type="dxa"/>
            </w:tcMar>
          </w:tcPr>
          <w:p w14:paraId="3200E8F0" w14:textId="77777777" w:rsidR="00875BC3" w:rsidRDefault="007918C5">
            <w:pPr>
              <w:jc w:val="center"/>
            </w:pPr>
            <w:r>
              <w:t>53.2%</w:t>
            </w:r>
          </w:p>
        </w:tc>
      </w:tr>
      <w:tr w:rsidR="00875BC3" w14:paraId="60999CBF" w14:textId="77777777">
        <w:trPr>
          <w:trHeight w:val="440"/>
        </w:trPr>
        <w:tc>
          <w:tcPr>
            <w:tcW w:w="88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1A58984" w14:textId="77777777" w:rsidR="00875BC3" w:rsidRDefault="00875BC3">
            <w:pPr>
              <w:jc w:val="center"/>
            </w:pPr>
          </w:p>
        </w:tc>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99642C" w14:textId="77777777" w:rsidR="00875BC3" w:rsidRDefault="007918C5">
            <w:r>
              <w:t>Low Income</w:t>
            </w:r>
          </w:p>
        </w:tc>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4AFF2" w14:textId="77777777" w:rsidR="00875BC3" w:rsidRDefault="007918C5">
            <w:pPr>
              <w:jc w:val="center"/>
            </w:pPr>
            <w:r>
              <w:t>69.6%</w:t>
            </w:r>
          </w:p>
        </w:tc>
        <w:tc>
          <w:tcPr>
            <w:tcW w:w="1140" w:type="dxa"/>
            <w:tcBorders>
              <w:bottom w:val="single" w:sz="8" w:space="0" w:color="000000"/>
              <w:right w:val="single" w:sz="8" w:space="0" w:color="000000"/>
            </w:tcBorders>
            <w:tcMar>
              <w:top w:w="100" w:type="dxa"/>
              <w:left w:w="100" w:type="dxa"/>
              <w:bottom w:w="100" w:type="dxa"/>
              <w:right w:w="100" w:type="dxa"/>
            </w:tcMar>
          </w:tcPr>
          <w:p w14:paraId="59FEA716" w14:textId="77777777" w:rsidR="00875BC3" w:rsidRDefault="007918C5">
            <w:pPr>
              <w:jc w:val="center"/>
            </w:pPr>
            <w:r>
              <w:t>69.8%</w:t>
            </w:r>
          </w:p>
        </w:tc>
        <w:tc>
          <w:tcPr>
            <w:tcW w:w="1230" w:type="dxa"/>
            <w:tcBorders>
              <w:bottom w:val="single" w:sz="8" w:space="0" w:color="000000"/>
              <w:right w:val="single" w:sz="8" w:space="0" w:color="000000"/>
            </w:tcBorders>
            <w:tcMar>
              <w:top w:w="100" w:type="dxa"/>
              <w:left w:w="100" w:type="dxa"/>
              <w:bottom w:w="100" w:type="dxa"/>
              <w:right w:w="100" w:type="dxa"/>
            </w:tcMar>
          </w:tcPr>
          <w:p w14:paraId="195CDE79" w14:textId="77777777" w:rsidR="00875BC3" w:rsidRDefault="007918C5">
            <w:pPr>
              <w:jc w:val="center"/>
            </w:pPr>
            <w:r>
              <w:t>69.8%</w:t>
            </w:r>
          </w:p>
        </w:tc>
        <w:tc>
          <w:tcPr>
            <w:tcW w:w="1380" w:type="dxa"/>
            <w:tcBorders>
              <w:bottom w:val="single" w:sz="8" w:space="0" w:color="000000"/>
              <w:right w:val="single" w:sz="8" w:space="0" w:color="000000"/>
            </w:tcBorders>
            <w:tcMar>
              <w:top w:w="100" w:type="dxa"/>
              <w:left w:w="100" w:type="dxa"/>
              <w:bottom w:w="100" w:type="dxa"/>
              <w:right w:w="100" w:type="dxa"/>
            </w:tcMar>
          </w:tcPr>
          <w:p w14:paraId="1ACF7584" w14:textId="77777777" w:rsidR="00875BC3" w:rsidRDefault="007918C5">
            <w:pPr>
              <w:jc w:val="center"/>
            </w:pPr>
            <w:r>
              <w:t>69.6%</w:t>
            </w:r>
          </w:p>
        </w:tc>
        <w:tc>
          <w:tcPr>
            <w:tcW w:w="1305" w:type="dxa"/>
            <w:tcBorders>
              <w:bottom w:val="single" w:sz="8" w:space="0" w:color="000000"/>
              <w:right w:val="single" w:sz="8" w:space="0" w:color="000000"/>
            </w:tcBorders>
            <w:tcMar>
              <w:top w:w="100" w:type="dxa"/>
              <w:left w:w="100" w:type="dxa"/>
              <w:bottom w:w="100" w:type="dxa"/>
              <w:right w:w="100" w:type="dxa"/>
            </w:tcMar>
          </w:tcPr>
          <w:p w14:paraId="23DC0D37" w14:textId="77777777" w:rsidR="00875BC3" w:rsidRDefault="007918C5">
            <w:pPr>
              <w:jc w:val="center"/>
            </w:pPr>
            <w:r>
              <w:t>69.8%</w:t>
            </w:r>
          </w:p>
        </w:tc>
        <w:tc>
          <w:tcPr>
            <w:tcW w:w="1380" w:type="dxa"/>
            <w:tcBorders>
              <w:bottom w:val="single" w:sz="8" w:space="0" w:color="000000"/>
              <w:right w:val="single" w:sz="8" w:space="0" w:color="000000"/>
            </w:tcBorders>
            <w:tcMar>
              <w:top w:w="100" w:type="dxa"/>
              <w:left w:w="100" w:type="dxa"/>
              <w:bottom w:w="100" w:type="dxa"/>
              <w:right w:w="100" w:type="dxa"/>
            </w:tcMar>
          </w:tcPr>
          <w:p w14:paraId="4BF3BCAA" w14:textId="77777777" w:rsidR="00875BC3" w:rsidRDefault="007918C5">
            <w:pPr>
              <w:jc w:val="center"/>
            </w:pPr>
            <w:r>
              <w:t>69.8%</w:t>
            </w:r>
          </w:p>
        </w:tc>
      </w:tr>
    </w:tbl>
    <w:p w14:paraId="001F472C" w14:textId="77777777" w:rsidR="00875BC3" w:rsidRPr="008224B9" w:rsidRDefault="007918C5">
      <w:pPr>
        <w:rPr>
          <w:sz w:val="16"/>
          <w:szCs w:val="18"/>
        </w:rPr>
      </w:pPr>
      <w:r w:rsidRPr="008224B9">
        <w:rPr>
          <w:sz w:val="16"/>
          <w:szCs w:val="18"/>
        </w:rPr>
        <w:t>Source. 2008-2012 CHAS, this table defines low-income households as those earning less than 80% of HAMFI.</w:t>
      </w:r>
    </w:p>
    <w:p w14:paraId="4AFA1928" w14:textId="77777777" w:rsidR="00875BC3" w:rsidRDefault="00875BC3"/>
    <w:p w14:paraId="77A3F9E2" w14:textId="77777777" w:rsidR="00875BC3" w:rsidRDefault="00875BC3"/>
    <w:p w14:paraId="68B63FF8" w14:textId="77777777" w:rsidR="00875BC3" w:rsidRDefault="007918C5">
      <w:r>
        <w:rPr>
          <w:b/>
        </w:rPr>
        <w:t>Number of Cost Burdened Households with Low-income (&lt;80% AMFI)</w:t>
      </w: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930"/>
        <w:gridCol w:w="1590"/>
        <w:gridCol w:w="1260"/>
        <w:gridCol w:w="1245"/>
        <w:gridCol w:w="1275"/>
        <w:gridCol w:w="1260"/>
        <w:gridCol w:w="1470"/>
      </w:tblGrid>
      <w:tr w:rsidR="00875BC3" w14:paraId="448D0D90" w14:textId="77777777">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10A73" w14:textId="77777777" w:rsidR="00875BC3" w:rsidRDefault="00875BC3"/>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BAB332" w14:textId="77777777" w:rsidR="00875BC3" w:rsidRDefault="007918C5">
            <w:r>
              <w:rPr>
                <w:b/>
              </w:rPr>
              <w:t>Multnomah</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7961B3" w14:textId="77777777" w:rsidR="00875BC3" w:rsidRDefault="007918C5">
            <w:r>
              <w:rPr>
                <w:b/>
              </w:rPr>
              <w:t>Portland</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A5F661" w14:textId="77777777" w:rsidR="00875BC3" w:rsidRDefault="007918C5">
            <w:r>
              <w:rPr>
                <w:b/>
              </w:rPr>
              <w:t>Corridor</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E9C5B9" w14:textId="77777777" w:rsidR="00875BC3" w:rsidRDefault="007918C5">
            <w:r>
              <w:rPr>
                <w:b/>
              </w:rPr>
              <w:t>Central Eastside</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5325EC" w14:textId="77777777" w:rsidR="00875BC3" w:rsidRDefault="007918C5">
            <w:r>
              <w:rPr>
                <w:b/>
              </w:rPr>
              <w:t>East Portland</w:t>
            </w:r>
          </w:p>
        </w:tc>
        <w:tc>
          <w:tcPr>
            <w:tcW w:w="14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E28ECD" w14:textId="77777777" w:rsidR="00875BC3" w:rsidRDefault="007918C5">
            <w:r>
              <w:rPr>
                <w:b/>
              </w:rPr>
              <w:t>Gresham West</w:t>
            </w:r>
          </w:p>
        </w:tc>
      </w:tr>
      <w:tr w:rsidR="00875BC3" w14:paraId="3CE65E04" w14:textId="77777777">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E24E7" w14:textId="77777777" w:rsidR="00875BC3" w:rsidRDefault="007918C5">
            <w:r>
              <w:t>Owner</w:t>
            </w:r>
          </w:p>
        </w:tc>
        <w:tc>
          <w:tcPr>
            <w:tcW w:w="1590" w:type="dxa"/>
            <w:tcBorders>
              <w:bottom w:val="single" w:sz="8" w:space="0" w:color="000000"/>
              <w:right w:val="single" w:sz="8" w:space="0" w:color="000000"/>
            </w:tcBorders>
            <w:tcMar>
              <w:top w:w="100" w:type="dxa"/>
              <w:left w:w="100" w:type="dxa"/>
              <w:bottom w:w="100" w:type="dxa"/>
              <w:right w:w="100" w:type="dxa"/>
            </w:tcMar>
          </w:tcPr>
          <w:p w14:paraId="3AEA98B8" w14:textId="77777777" w:rsidR="00875BC3" w:rsidRDefault="007918C5">
            <w:r>
              <w:t>30,283</w:t>
            </w:r>
          </w:p>
        </w:tc>
        <w:tc>
          <w:tcPr>
            <w:tcW w:w="1260" w:type="dxa"/>
            <w:tcBorders>
              <w:bottom w:val="single" w:sz="8" w:space="0" w:color="000000"/>
              <w:right w:val="single" w:sz="8" w:space="0" w:color="000000"/>
            </w:tcBorders>
            <w:tcMar>
              <w:top w:w="100" w:type="dxa"/>
              <w:left w:w="100" w:type="dxa"/>
              <w:bottom w:w="100" w:type="dxa"/>
              <w:right w:w="100" w:type="dxa"/>
            </w:tcMar>
          </w:tcPr>
          <w:p w14:paraId="54F1ACC6" w14:textId="77777777" w:rsidR="00875BC3" w:rsidRDefault="007918C5">
            <w:r>
              <w:t>24,447</w:t>
            </w:r>
          </w:p>
        </w:tc>
        <w:tc>
          <w:tcPr>
            <w:tcW w:w="1245" w:type="dxa"/>
            <w:tcBorders>
              <w:bottom w:val="single" w:sz="8" w:space="0" w:color="000000"/>
              <w:right w:val="single" w:sz="8" w:space="0" w:color="000000"/>
            </w:tcBorders>
            <w:tcMar>
              <w:top w:w="100" w:type="dxa"/>
              <w:left w:w="100" w:type="dxa"/>
              <w:bottom w:w="100" w:type="dxa"/>
              <w:right w:w="100" w:type="dxa"/>
            </w:tcMar>
          </w:tcPr>
          <w:p w14:paraId="567E1147" w14:textId="77777777" w:rsidR="00875BC3" w:rsidRDefault="007918C5">
            <w:r>
              <w:t>7,540</w:t>
            </w:r>
          </w:p>
          <w:p w14:paraId="3D69B978" w14:textId="77777777" w:rsidR="00875BC3" w:rsidRDefault="007918C5">
            <w:r>
              <w:t>(24.9%)</w:t>
            </w:r>
          </w:p>
        </w:tc>
        <w:tc>
          <w:tcPr>
            <w:tcW w:w="1275" w:type="dxa"/>
            <w:tcBorders>
              <w:bottom w:val="single" w:sz="8" w:space="0" w:color="000000"/>
              <w:right w:val="single" w:sz="8" w:space="0" w:color="000000"/>
            </w:tcBorders>
            <w:tcMar>
              <w:top w:w="100" w:type="dxa"/>
              <w:left w:w="100" w:type="dxa"/>
              <w:bottom w:w="100" w:type="dxa"/>
              <w:right w:w="100" w:type="dxa"/>
            </w:tcMar>
          </w:tcPr>
          <w:p w14:paraId="1BFD00EB" w14:textId="77777777" w:rsidR="00875BC3" w:rsidRDefault="007918C5">
            <w:r>
              <w:t>1,695</w:t>
            </w:r>
          </w:p>
        </w:tc>
        <w:tc>
          <w:tcPr>
            <w:tcW w:w="1260" w:type="dxa"/>
            <w:tcBorders>
              <w:bottom w:val="single" w:sz="8" w:space="0" w:color="000000"/>
              <w:right w:val="single" w:sz="8" w:space="0" w:color="000000"/>
            </w:tcBorders>
            <w:tcMar>
              <w:top w:w="100" w:type="dxa"/>
              <w:left w:w="100" w:type="dxa"/>
              <w:bottom w:w="100" w:type="dxa"/>
              <w:right w:w="100" w:type="dxa"/>
            </w:tcMar>
          </w:tcPr>
          <w:p w14:paraId="5419066B" w14:textId="77777777" w:rsidR="00875BC3" w:rsidRDefault="007918C5">
            <w:r>
              <w:t>3,937</w:t>
            </w:r>
          </w:p>
        </w:tc>
        <w:tc>
          <w:tcPr>
            <w:tcW w:w="1470" w:type="dxa"/>
            <w:tcBorders>
              <w:bottom w:val="single" w:sz="8" w:space="0" w:color="000000"/>
              <w:right w:val="single" w:sz="8" w:space="0" w:color="000000"/>
            </w:tcBorders>
            <w:tcMar>
              <w:top w:w="100" w:type="dxa"/>
              <w:left w:w="100" w:type="dxa"/>
              <w:bottom w:w="100" w:type="dxa"/>
              <w:right w:w="100" w:type="dxa"/>
            </w:tcMar>
          </w:tcPr>
          <w:p w14:paraId="5F1828E9" w14:textId="77777777" w:rsidR="00875BC3" w:rsidRDefault="007918C5">
            <w:r>
              <w:t>1,908</w:t>
            </w:r>
          </w:p>
        </w:tc>
      </w:tr>
      <w:tr w:rsidR="00875BC3" w14:paraId="699241D3" w14:textId="77777777">
        <w:tc>
          <w:tcPr>
            <w:tcW w:w="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B1A474" w14:textId="77777777" w:rsidR="00875BC3" w:rsidRDefault="007918C5">
            <w:r>
              <w:t>Renter</w:t>
            </w:r>
          </w:p>
        </w:tc>
        <w:tc>
          <w:tcPr>
            <w:tcW w:w="1590" w:type="dxa"/>
            <w:tcBorders>
              <w:bottom w:val="single" w:sz="8" w:space="0" w:color="000000"/>
              <w:right w:val="single" w:sz="8" w:space="0" w:color="000000"/>
            </w:tcBorders>
            <w:tcMar>
              <w:top w:w="100" w:type="dxa"/>
              <w:left w:w="100" w:type="dxa"/>
              <w:bottom w:w="100" w:type="dxa"/>
              <w:right w:w="100" w:type="dxa"/>
            </w:tcMar>
          </w:tcPr>
          <w:p w14:paraId="75FEF0A5" w14:textId="77777777" w:rsidR="00875BC3" w:rsidRDefault="007918C5">
            <w:r>
              <w:t>63,851</w:t>
            </w:r>
          </w:p>
        </w:tc>
        <w:tc>
          <w:tcPr>
            <w:tcW w:w="1260" w:type="dxa"/>
            <w:tcBorders>
              <w:bottom w:val="single" w:sz="8" w:space="0" w:color="000000"/>
              <w:right w:val="single" w:sz="8" w:space="0" w:color="000000"/>
            </w:tcBorders>
            <w:tcMar>
              <w:top w:w="100" w:type="dxa"/>
              <w:left w:w="100" w:type="dxa"/>
              <w:bottom w:w="100" w:type="dxa"/>
              <w:right w:w="100" w:type="dxa"/>
            </w:tcMar>
          </w:tcPr>
          <w:p w14:paraId="5062E98B" w14:textId="77777777" w:rsidR="00875BC3" w:rsidRDefault="007918C5">
            <w:r>
              <w:t>52,546</w:t>
            </w:r>
          </w:p>
        </w:tc>
        <w:tc>
          <w:tcPr>
            <w:tcW w:w="1245" w:type="dxa"/>
            <w:tcBorders>
              <w:bottom w:val="single" w:sz="8" w:space="0" w:color="000000"/>
              <w:right w:val="single" w:sz="8" w:space="0" w:color="000000"/>
            </w:tcBorders>
            <w:tcMar>
              <w:top w:w="100" w:type="dxa"/>
              <w:left w:w="100" w:type="dxa"/>
              <w:bottom w:w="100" w:type="dxa"/>
              <w:right w:w="100" w:type="dxa"/>
            </w:tcMar>
          </w:tcPr>
          <w:p w14:paraId="7DA66038" w14:textId="77777777" w:rsidR="00875BC3" w:rsidRDefault="007918C5">
            <w:r>
              <w:t>17,504</w:t>
            </w:r>
          </w:p>
          <w:p w14:paraId="72C645AB" w14:textId="77777777" w:rsidR="00875BC3" w:rsidRDefault="007918C5">
            <w:r>
              <w:t>(27.4%)</w:t>
            </w:r>
          </w:p>
        </w:tc>
        <w:tc>
          <w:tcPr>
            <w:tcW w:w="1275" w:type="dxa"/>
            <w:tcBorders>
              <w:bottom w:val="single" w:sz="8" w:space="0" w:color="000000"/>
              <w:right w:val="single" w:sz="8" w:space="0" w:color="000000"/>
            </w:tcBorders>
            <w:tcMar>
              <w:top w:w="100" w:type="dxa"/>
              <w:left w:w="100" w:type="dxa"/>
              <w:bottom w:w="100" w:type="dxa"/>
              <w:right w:w="100" w:type="dxa"/>
            </w:tcMar>
          </w:tcPr>
          <w:p w14:paraId="3B6B9EBE" w14:textId="77777777" w:rsidR="00875BC3" w:rsidRDefault="007918C5">
            <w:r>
              <w:t>4,425</w:t>
            </w:r>
          </w:p>
        </w:tc>
        <w:tc>
          <w:tcPr>
            <w:tcW w:w="1260" w:type="dxa"/>
            <w:tcBorders>
              <w:bottom w:val="single" w:sz="8" w:space="0" w:color="000000"/>
              <w:right w:val="single" w:sz="8" w:space="0" w:color="000000"/>
            </w:tcBorders>
            <w:tcMar>
              <w:top w:w="100" w:type="dxa"/>
              <w:left w:w="100" w:type="dxa"/>
              <w:bottom w:w="100" w:type="dxa"/>
              <w:right w:w="100" w:type="dxa"/>
            </w:tcMar>
          </w:tcPr>
          <w:p w14:paraId="2AB5AEF9" w14:textId="77777777" w:rsidR="00875BC3" w:rsidRDefault="007918C5">
            <w:r>
              <w:t>8,069</w:t>
            </w:r>
          </w:p>
        </w:tc>
        <w:tc>
          <w:tcPr>
            <w:tcW w:w="1470" w:type="dxa"/>
            <w:tcBorders>
              <w:bottom w:val="single" w:sz="8" w:space="0" w:color="000000"/>
              <w:right w:val="single" w:sz="8" w:space="0" w:color="000000"/>
            </w:tcBorders>
            <w:tcMar>
              <w:top w:w="100" w:type="dxa"/>
              <w:left w:w="100" w:type="dxa"/>
              <w:bottom w:w="100" w:type="dxa"/>
              <w:right w:w="100" w:type="dxa"/>
            </w:tcMar>
          </w:tcPr>
          <w:p w14:paraId="17065908" w14:textId="77777777" w:rsidR="00875BC3" w:rsidRDefault="007918C5">
            <w:r>
              <w:t>5,010</w:t>
            </w:r>
          </w:p>
        </w:tc>
      </w:tr>
    </w:tbl>
    <w:p w14:paraId="2AF42527" w14:textId="77777777" w:rsidR="00875BC3" w:rsidRPr="008224B9" w:rsidRDefault="007918C5">
      <w:pPr>
        <w:rPr>
          <w:sz w:val="16"/>
          <w:szCs w:val="18"/>
        </w:rPr>
      </w:pPr>
      <w:r w:rsidRPr="008224B9">
        <w:rPr>
          <w:sz w:val="16"/>
          <w:szCs w:val="18"/>
        </w:rPr>
        <w:t>Source. 2008-2012 CHAS</w:t>
      </w:r>
    </w:p>
    <w:p w14:paraId="7342196A" w14:textId="77777777" w:rsidR="00875BC3" w:rsidRDefault="00875BC3"/>
    <w:p w14:paraId="49D5E5F4" w14:textId="77777777" w:rsidR="00875BC3" w:rsidRDefault="00875BC3"/>
    <w:p w14:paraId="2DE39197" w14:textId="77777777" w:rsidR="00875BC3" w:rsidRDefault="00875BC3"/>
    <w:p w14:paraId="0E55206E" w14:textId="77777777" w:rsidR="00875BC3" w:rsidRDefault="00875BC3"/>
    <w:p w14:paraId="72C9D5E1" w14:textId="77777777" w:rsidR="00875BC3" w:rsidRDefault="00875BC3"/>
    <w:p w14:paraId="441F023D" w14:textId="77777777" w:rsidR="007918C5" w:rsidRDefault="007918C5">
      <w:pPr>
        <w:rPr>
          <w:i/>
          <w:color w:val="222222"/>
        </w:rPr>
      </w:pPr>
      <w:r>
        <w:rPr>
          <w:i/>
          <w:color w:val="222222"/>
        </w:rPr>
        <w:br w:type="page"/>
      </w:r>
    </w:p>
    <w:p w14:paraId="74A5AE68" w14:textId="77777777" w:rsidR="00875BC3" w:rsidRPr="009B6F33" w:rsidRDefault="007918C5">
      <w:pPr>
        <w:rPr>
          <w:rFonts w:ascii="Cambria" w:hAnsi="Cambria"/>
          <w:b/>
          <w:i/>
        </w:rPr>
      </w:pPr>
      <w:r w:rsidRPr="009B6F33">
        <w:rPr>
          <w:rFonts w:ascii="Cambria" w:hAnsi="Cambria"/>
          <w:b/>
          <w:i/>
        </w:rPr>
        <w:lastRenderedPageBreak/>
        <w:t>Racial equity impacts</w:t>
      </w:r>
    </w:p>
    <w:p w14:paraId="1440103B" w14:textId="77777777" w:rsidR="009B6F33" w:rsidRDefault="009B6F33">
      <w:pPr>
        <w:rPr>
          <w:rFonts w:ascii="Cambria" w:hAnsi="Cambria"/>
        </w:rPr>
      </w:pPr>
    </w:p>
    <w:p w14:paraId="1320BA3B" w14:textId="00F30F2B" w:rsidR="00875BC3" w:rsidRPr="009B6F33" w:rsidRDefault="007918C5">
      <w:pPr>
        <w:rPr>
          <w:rFonts w:ascii="Cambria" w:hAnsi="Cambria"/>
        </w:rPr>
      </w:pPr>
      <w:r w:rsidRPr="009B6F33">
        <w:rPr>
          <w:rFonts w:ascii="Cambria" w:hAnsi="Cambria"/>
        </w:rPr>
        <w:t xml:space="preserve">Looking at renter households by race at different locations also provides information about racial equity impacts of potential gentrification. Black renters have very high cost burdens, more so than elsewhere in the city; the gap between cost burden in Gresham and the citywide average is 18 </w:t>
      </w:r>
      <w:r w:rsidR="008224B9">
        <w:rPr>
          <w:rFonts w:ascii="Cambria" w:hAnsi="Cambria"/>
        </w:rPr>
        <w:t>percent</w:t>
      </w:r>
      <w:r w:rsidRPr="009B6F33">
        <w:rPr>
          <w:rFonts w:ascii="Cambria" w:hAnsi="Cambria"/>
        </w:rPr>
        <w:t xml:space="preserve">. Asian renter households have far greater cost burdens in the Jade district than they do citywide (by 20 </w:t>
      </w:r>
      <w:r w:rsidR="008224B9">
        <w:rPr>
          <w:rFonts w:ascii="Cambria" w:hAnsi="Cambria"/>
        </w:rPr>
        <w:t>percent</w:t>
      </w:r>
      <w:r w:rsidRPr="009B6F33">
        <w:rPr>
          <w:rFonts w:ascii="Cambria" w:hAnsi="Cambria"/>
        </w:rPr>
        <w:t xml:space="preserve">). Latino households who rent are most burdened in East Portland (8 </w:t>
      </w:r>
      <w:r w:rsidR="008224B9">
        <w:rPr>
          <w:rFonts w:ascii="Cambria" w:hAnsi="Cambria"/>
        </w:rPr>
        <w:t xml:space="preserve">percent </w:t>
      </w:r>
      <w:r w:rsidRPr="009B6F33">
        <w:rPr>
          <w:rFonts w:ascii="Cambria" w:hAnsi="Cambria"/>
        </w:rPr>
        <w:t>higher than the average for Latino cost burden).</w:t>
      </w:r>
    </w:p>
    <w:p w14:paraId="69951304" w14:textId="77777777" w:rsidR="00875BC3" w:rsidRDefault="00875BC3"/>
    <w:p w14:paraId="17077964" w14:textId="77777777" w:rsidR="00875BC3" w:rsidRDefault="007918C5">
      <w:r>
        <w:rPr>
          <w:b/>
        </w:rPr>
        <w:t xml:space="preserve"> Cost Burdened households by race/ethnicity</w:t>
      </w:r>
    </w:p>
    <w:tbl>
      <w:tblPr>
        <w:tblStyle w:val="a3"/>
        <w:tblW w:w="9645" w:type="dxa"/>
        <w:tblBorders>
          <w:top w:val="nil"/>
          <w:left w:val="nil"/>
          <w:bottom w:val="nil"/>
          <w:right w:val="nil"/>
          <w:insideH w:val="nil"/>
          <w:insideV w:val="nil"/>
        </w:tblBorders>
        <w:tblLayout w:type="fixed"/>
        <w:tblLook w:val="0600" w:firstRow="0" w:lastRow="0" w:firstColumn="0" w:lastColumn="0" w:noHBand="1" w:noVBand="1"/>
      </w:tblPr>
      <w:tblGrid>
        <w:gridCol w:w="1275"/>
        <w:gridCol w:w="1500"/>
        <w:gridCol w:w="1290"/>
        <w:gridCol w:w="1245"/>
        <w:gridCol w:w="1485"/>
        <w:gridCol w:w="1395"/>
        <w:gridCol w:w="1455"/>
      </w:tblGrid>
      <w:tr w:rsidR="00875BC3" w14:paraId="1C263310" w14:textId="77777777">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8AB40" w14:textId="77777777" w:rsidR="00875BC3" w:rsidRDefault="00875BC3"/>
        </w:tc>
        <w:tc>
          <w:tcPr>
            <w:tcW w:w="1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5E7962" w14:textId="77777777" w:rsidR="00875BC3" w:rsidRDefault="007918C5">
            <w:r>
              <w:rPr>
                <w:b/>
              </w:rPr>
              <w:t>Multnomah</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639B36" w14:textId="77777777" w:rsidR="00875BC3" w:rsidRDefault="007918C5">
            <w:r>
              <w:rPr>
                <w:b/>
              </w:rPr>
              <w:t>Portland</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465524" w14:textId="77777777" w:rsidR="00875BC3" w:rsidRDefault="007918C5">
            <w:r>
              <w:rPr>
                <w:b/>
              </w:rPr>
              <w:t>Corridor</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3CF67B" w14:textId="77777777" w:rsidR="00875BC3" w:rsidRDefault="007918C5">
            <w:r>
              <w:rPr>
                <w:b/>
              </w:rPr>
              <w:t>Central Eastside</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C8B390" w14:textId="77777777" w:rsidR="00875BC3" w:rsidRDefault="007918C5">
            <w:r>
              <w:rPr>
                <w:b/>
              </w:rPr>
              <w:t>East Portland</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9D5DD9" w14:textId="77777777" w:rsidR="00875BC3" w:rsidRDefault="007918C5">
            <w:r>
              <w:rPr>
                <w:b/>
              </w:rPr>
              <w:t>Gresham West</w:t>
            </w:r>
          </w:p>
        </w:tc>
      </w:tr>
      <w:tr w:rsidR="00875BC3" w14:paraId="248E941C"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81AF81" w14:textId="77777777" w:rsidR="00875BC3" w:rsidRDefault="007918C5">
            <w:r>
              <w:t>White</w:t>
            </w:r>
          </w:p>
        </w:tc>
        <w:tc>
          <w:tcPr>
            <w:tcW w:w="1500" w:type="dxa"/>
            <w:tcBorders>
              <w:bottom w:val="single" w:sz="8" w:space="0" w:color="000000"/>
              <w:right w:val="single" w:sz="8" w:space="0" w:color="000000"/>
            </w:tcBorders>
            <w:tcMar>
              <w:top w:w="100" w:type="dxa"/>
              <w:left w:w="100" w:type="dxa"/>
              <w:bottom w:w="100" w:type="dxa"/>
              <w:right w:w="100" w:type="dxa"/>
            </w:tcMar>
          </w:tcPr>
          <w:p w14:paraId="0A368E4E" w14:textId="77777777" w:rsidR="00875BC3" w:rsidRDefault="007918C5">
            <w:r>
              <w:t>47.3%</w:t>
            </w:r>
          </w:p>
        </w:tc>
        <w:tc>
          <w:tcPr>
            <w:tcW w:w="1290" w:type="dxa"/>
            <w:tcBorders>
              <w:bottom w:val="single" w:sz="8" w:space="0" w:color="000000"/>
              <w:right w:val="single" w:sz="8" w:space="0" w:color="000000"/>
            </w:tcBorders>
            <w:tcMar>
              <w:top w:w="100" w:type="dxa"/>
              <w:left w:w="100" w:type="dxa"/>
              <w:bottom w:w="100" w:type="dxa"/>
              <w:right w:w="100" w:type="dxa"/>
            </w:tcMar>
          </w:tcPr>
          <w:p w14:paraId="69FE00C7" w14:textId="77777777" w:rsidR="00875BC3" w:rsidRDefault="007918C5">
            <w:r>
              <w:t>46.5%</w:t>
            </w:r>
          </w:p>
        </w:tc>
        <w:tc>
          <w:tcPr>
            <w:tcW w:w="1245" w:type="dxa"/>
            <w:tcBorders>
              <w:bottom w:val="single" w:sz="8" w:space="0" w:color="000000"/>
              <w:right w:val="single" w:sz="8" w:space="0" w:color="000000"/>
            </w:tcBorders>
            <w:tcMar>
              <w:top w:w="100" w:type="dxa"/>
              <w:left w:w="100" w:type="dxa"/>
              <w:bottom w:w="100" w:type="dxa"/>
              <w:right w:w="100" w:type="dxa"/>
            </w:tcMar>
          </w:tcPr>
          <w:p w14:paraId="5070D1B5" w14:textId="77777777" w:rsidR="00875BC3" w:rsidRDefault="007918C5">
            <w:r>
              <w:t>50.7%</w:t>
            </w:r>
          </w:p>
        </w:tc>
        <w:tc>
          <w:tcPr>
            <w:tcW w:w="1485" w:type="dxa"/>
            <w:tcBorders>
              <w:bottom w:val="single" w:sz="8" w:space="0" w:color="000000"/>
              <w:right w:val="single" w:sz="8" w:space="0" w:color="000000"/>
            </w:tcBorders>
            <w:tcMar>
              <w:top w:w="100" w:type="dxa"/>
              <w:left w:w="100" w:type="dxa"/>
              <w:bottom w:w="100" w:type="dxa"/>
              <w:right w:w="100" w:type="dxa"/>
            </w:tcMar>
          </w:tcPr>
          <w:p w14:paraId="1329F535" w14:textId="77777777" w:rsidR="00875BC3" w:rsidRDefault="007918C5">
            <w:r>
              <w:t>48.0%</w:t>
            </w:r>
          </w:p>
        </w:tc>
        <w:tc>
          <w:tcPr>
            <w:tcW w:w="1395" w:type="dxa"/>
            <w:tcBorders>
              <w:bottom w:val="single" w:sz="8" w:space="0" w:color="000000"/>
              <w:right w:val="single" w:sz="8" w:space="0" w:color="000000"/>
            </w:tcBorders>
            <w:tcMar>
              <w:top w:w="100" w:type="dxa"/>
              <w:left w:w="100" w:type="dxa"/>
              <w:bottom w:w="100" w:type="dxa"/>
              <w:right w:w="100" w:type="dxa"/>
            </w:tcMar>
          </w:tcPr>
          <w:p w14:paraId="4BB0ADAC" w14:textId="77777777" w:rsidR="00875BC3" w:rsidRDefault="007918C5">
            <w:r>
              <w:t>49.5%</w:t>
            </w:r>
          </w:p>
        </w:tc>
        <w:tc>
          <w:tcPr>
            <w:tcW w:w="1455" w:type="dxa"/>
            <w:tcBorders>
              <w:bottom w:val="single" w:sz="8" w:space="0" w:color="000000"/>
              <w:right w:val="single" w:sz="8" w:space="0" w:color="000000"/>
            </w:tcBorders>
            <w:tcMar>
              <w:top w:w="100" w:type="dxa"/>
              <w:left w:w="100" w:type="dxa"/>
              <w:bottom w:w="100" w:type="dxa"/>
              <w:right w:w="100" w:type="dxa"/>
            </w:tcMar>
          </w:tcPr>
          <w:p w14:paraId="54037AE5" w14:textId="77777777" w:rsidR="00875BC3" w:rsidRDefault="007918C5">
            <w:r>
              <w:t>55.0%</w:t>
            </w:r>
          </w:p>
        </w:tc>
      </w:tr>
      <w:tr w:rsidR="00875BC3" w14:paraId="64B58021"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D4C5C0" w14:textId="77777777" w:rsidR="00875BC3" w:rsidRDefault="007918C5">
            <w:r>
              <w:t>Black</w:t>
            </w:r>
          </w:p>
        </w:tc>
        <w:tc>
          <w:tcPr>
            <w:tcW w:w="1500" w:type="dxa"/>
            <w:tcBorders>
              <w:bottom w:val="single" w:sz="8" w:space="0" w:color="000000"/>
              <w:right w:val="single" w:sz="8" w:space="0" w:color="000000"/>
            </w:tcBorders>
            <w:tcMar>
              <w:top w:w="100" w:type="dxa"/>
              <w:left w:w="100" w:type="dxa"/>
              <w:bottom w:w="100" w:type="dxa"/>
              <w:right w:w="100" w:type="dxa"/>
            </w:tcMar>
          </w:tcPr>
          <w:p w14:paraId="59B3067A" w14:textId="77777777" w:rsidR="00875BC3" w:rsidRDefault="007918C5">
            <w:r>
              <w:t>61.0%</w:t>
            </w:r>
          </w:p>
        </w:tc>
        <w:tc>
          <w:tcPr>
            <w:tcW w:w="1290" w:type="dxa"/>
            <w:tcBorders>
              <w:bottom w:val="single" w:sz="8" w:space="0" w:color="000000"/>
              <w:right w:val="single" w:sz="8" w:space="0" w:color="000000"/>
            </w:tcBorders>
            <w:tcMar>
              <w:top w:w="100" w:type="dxa"/>
              <w:left w:w="100" w:type="dxa"/>
              <w:bottom w:w="100" w:type="dxa"/>
              <w:right w:w="100" w:type="dxa"/>
            </w:tcMar>
          </w:tcPr>
          <w:p w14:paraId="440C6B35" w14:textId="77777777" w:rsidR="00875BC3" w:rsidRDefault="007918C5">
            <w:r>
              <w:t>61.0%</w:t>
            </w:r>
          </w:p>
        </w:tc>
        <w:tc>
          <w:tcPr>
            <w:tcW w:w="1245" w:type="dxa"/>
            <w:tcBorders>
              <w:bottom w:val="single" w:sz="8" w:space="0" w:color="000000"/>
              <w:right w:val="single" w:sz="8" w:space="0" w:color="000000"/>
            </w:tcBorders>
            <w:tcMar>
              <w:top w:w="100" w:type="dxa"/>
              <w:left w:w="100" w:type="dxa"/>
              <w:bottom w:w="100" w:type="dxa"/>
              <w:right w:w="100" w:type="dxa"/>
            </w:tcMar>
          </w:tcPr>
          <w:p w14:paraId="2B79B7E2" w14:textId="77777777" w:rsidR="00875BC3" w:rsidRDefault="007918C5">
            <w:r>
              <w:t>67.0%</w:t>
            </w:r>
          </w:p>
        </w:tc>
        <w:tc>
          <w:tcPr>
            <w:tcW w:w="1485" w:type="dxa"/>
            <w:tcBorders>
              <w:bottom w:val="single" w:sz="8" w:space="0" w:color="000000"/>
              <w:right w:val="single" w:sz="8" w:space="0" w:color="000000"/>
            </w:tcBorders>
            <w:tcMar>
              <w:top w:w="100" w:type="dxa"/>
              <w:left w:w="100" w:type="dxa"/>
              <w:bottom w:w="100" w:type="dxa"/>
              <w:right w:w="100" w:type="dxa"/>
            </w:tcMar>
          </w:tcPr>
          <w:p w14:paraId="77901497" w14:textId="77777777" w:rsidR="00875BC3" w:rsidRDefault="007918C5">
            <w:r>
              <w:t>55.0%</w:t>
            </w:r>
          </w:p>
        </w:tc>
        <w:tc>
          <w:tcPr>
            <w:tcW w:w="1395" w:type="dxa"/>
            <w:tcBorders>
              <w:bottom w:val="single" w:sz="8" w:space="0" w:color="000000"/>
              <w:right w:val="single" w:sz="8" w:space="0" w:color="000000"/>
            </w:tcBorders>
            <w:tcMar>
              <w:top w:w="100" w:type="dxa"/>
              <w:left w:w="100" w:type="dxa"/>
              <w:bottom w:w="100" w:type="dxa"/>
              <w:right w:w="100" w:type="dxa"/>
            </w:tcMar>
          </w:tcPr>
          <w:p w14:paraId="6D72ED99" w14:textId="77777777" w:rsidR="00875BC3" w:rsidRDefault="007918C5">
            <w:r>
              <w:t>68.7%</w:t>
            </w:r>
          </w:p>
        </w:tc>
        <w:tc>
          <w:tcPr>
            <w:tcW w:w="1455" w:type="dxa"/>
            <w:tcBorders>
              <w:bottom w:val="single" w:sz="8" w:space="0" w:color="000000"/>
              <w:right w:val="single" w:sz="8" w:space="0" w:color="000000"/>
            </w:tcBorders>
            <w:tcMar>
              <w:top w:w="100" w:type="dxa"/>
              <w:left w:w="100" w:type="dxa"/>
              <w:bottom w:w="100" w:type="dxa"/>
              <w:right w:w="100" w:type="dxa"/>
            </w:tcMar>
          </w:tcPr>
          <w:p w14:paraId="6D11F373" w14:textId="77777777" w:rsidR="00875BC3" w:rsidRDefault="007918C5">
            <w:r>
              <w:t>78.6%</w:t>
            </w:r>
          </w:p>
        </w:tc>
      </w:tr>
      <w:tr w:rsidR="00875BC3" w14:paraId="063E7CE4"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016DD9" w14:textId="77777777" w:rsidR="00875BC3" w:rsidRDefault="007918C5">
            <w:r>
              <w:t>Asian</w:t>
            </w:r>
          </w:p>
        </w:tc>
        <w:tc>
          <w:tcPr>
            <w:tcW w:w="1500" w:type="dxa"/>
            <w:tcBorders>
              <w:bottom w:val="single" w:sz="8" w:space="0" w:color="000000"/>
              <w:right w:val="single" w:sz="8" w:space="0" w:color="000000"/>
            </w:tcBorders>
            <w:tcMar>
              <w:top w:w="100" w:type="dxa"/>
              <w:left w:w="100" w:type="dxa"/>
              <w:bottom w:w="100" w:type="dxa"/>
              <w:right w:w="100" w:type="dxa"/>
            </w:tcMar>
          </w:tcPr>
          <w:p w14:paraId="2BDFDAFA" w14:textId="77777777" w:rsidR="00875BC3" w:rsidRDefault="007918C5">
            <w:r>
              <w:t>48.4%</w:t>
            </w:r>
          </w:p>
        </w:tc>
        <w:tc>
          <w:tcPr>
            <w:tcW w:w="1290" w:type="dxa"/>
            <w:tcBorders>
              <w:bottom w:val="single" w:sz="8" w:space="0" w:color="000000"/>
              <w:right w:val="single" w:sz="8" w:space="0" w:color="000000"/>
            </w:tcBorders>
            <w:tcMar>
              <w:top w:w="100" w:type="dxa"/>
              <w:left w:w="100" w:type="dxa"/>
              <w:bottom w:w="100" w:type="dxa"/>
              <w:right w:w="100" w:type="dxa"/>
            </w:tcMar>
          </w:tcPr>
          <w:p w14:paraId="45E064B0" w14:textId="77777777" w:rsidR="00875BC3" w:rsidRDefault="007918C5">
            <w:r>
              <w:t>48.4%</w:t>
            </w:r>
          </w:p>
        </w:tc>
        <w:tc>
          <w:tcPr>
            <w:tcW w:w="1245" w:type="dxa"/>
            <w:tcBorders>
              <w:bottom w:val="single" w:sz="8" w:space="0" w:color="000000"/>
              <w:right w:val="single" w:sz="8" w:space="0" w:color="000000"/>
            </w:tcBorders>
            <w:tcMar>
              <w:top w:w="100" w:type="dxa"/>
              <w:left w:w="100" w:type="dxa"/>
              <w:bottom w:w="100" w:type="dxa"/>
              <w:right w:w="100" w:type="dxa"/>
            </w:tcMar>
          </w:tcPr>
          <w:p w14:paraId="4C8392CC" w14:textId="77777777" w:rsidR="00875BC3" w:rsidRDefault="007918C5">
            <w:r>
              <w:t>59.8%</w:t>
            </w:r>
          </w:p>
        </w:tc>
        <w:tc>
          <w:tcPr>
            <w:tcW w:w="1485" w:type="dxa"/>
            <w:tcBorders>
              <w:bottom w:val="single" w:sz="8" w:space="0" w:color="000000"/>
              <w:right w:val="single" w:sz="8" w:space="0" w:color="000000"/>
            </w:tcBorders>
            <w:tcMar>
              <w:top w:w="100" w:type="dxa"/>
              <w:left w:w="100" w:type="dxa"/>
              <w:bottom w:w="100" w:type="dxa"/>
              <w:right w:w="100" w:type="dxa"/>
            </w:tcMar>
          </w:tcPr>
          <w:p w14:paraId="6EA3744C" w14:textId="77777777" w:rsidR="00875BC3" w:rsidRDefault="007918C5">
            <w:r>
              <w:t>52.9%</w:t>
            </w:r>
          </w:p>
        </w:tc>
        <w:tc>
          <w:tcPr>
            <w:tcW w:w="1395" w:type="dxa"/>
            <w:tcBorders>
              <w:bottom w:val="single" w:sz="8" w:space="0" w:color="000000"/>
              <w:right w:val="single" w:sz="8" w:space="0" w:color="000000"/>
            </w:tcBorders>
            <w:tcMar>
              <w:top w:w="100" w:type="dxa"/>
              <w:left w:w="100" w:type="dxa"/>
              <w:bottom w:w="100" w:type="dxa"/>
              <w:right w:w="100" w:type="dxa"/>
            </w:tcMar>
          </w:tcPr>
          <w:p w14:paraId="0FB17FCC" w14:textId="77777777" w:rsidR="00875BC3" w:rsidRDefault="007918C5">
            <w:r>
              <w:t>64.7%</w:t>
            </w:r>
          </w:p>
        </w:tc>
        <w:tc>
          <w:tcPr>
            <w:tcW w:w="1455" w:type="dxa"/>
            <w:tcBorders>
              <w:bottom w:val="single" w:sz="8" w:space="0" w:color="000000"/>
              <w:right w:val="single" w:sz="8" w:space="0" w:color="000000"/>
            </w:tcBorders>
            <w:tcMar>
              <w:top w:w="100" w:type="dxa"/>
              <w:left w:w="100" w:type="dxa"/>
              <w:bottom w:w="100" w:type="dxa"/>
              <w:right w:w="100" w:type="dxa"/>
            </w:tcMar>
          </w:tcPr>
          <w:p w14:paraId="27807613" w14:textId="77777777" w:rsidR="00875BC3" w:rsidRDefault="007918C5">
            <w:r>
              <w:t>47.9%</w:t>
            </w:r>
          </w:p>
        </w:tc>
      </w:tr>
      <w:tr w:rsidR="00875BC3" w14:paraId="480912DC"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49DCF8" w14:textId="77777777" w:rsidR="00875BC3" w:rsidRDefault="007918C5">
            <w:r>
              <w:t>Native American</w:t>
            </w:r>
          </w:p>
        </w:tc>
        <w:tc>
          <w:tcPr>
            <w:tcW w:w="1500" w:type="dxa"/>
            <w:tcBorders>
              <w:bottom w:val="single" w:sz="8" w:space="0" w:color="000000"/>
              <w:right w:val="single" w:sz="8" w:space="0" w:color="000000"/>
            </w:tcBorders>
            <w:tcMar>
              <w:top w:w="100" w:type="dxa"/>
              <w:left w:w="100" w:type="dxa"/>
              <w:bottom w:w="100" w:type="dxa"/>
              <w:right w:w="100" w:type="dxa"/>
            </w:tcMar>
          </w:tcPr>
          <w:p w14:paraId="7AAEDB06" w14:textId="77777777" w:rsidR="00875BC3" w:rsidRDefault="007918C5">
            <w:r>
              <w:t>58.2%</w:t>
            </w:r>
          </w:p>
        </w:tc>
        <w:tc>
          <w:tcPr>
            <w:tcW w:w="1290" w:type="dxa"/>
            <w:tcBorders>
              <w:bottom w:val="single" w:sz="8" w:space="0" w:color="000000"/>
              <w:right w:val="single" w:sz="8" w:space="0" w:color="000000"/>
            </w:tcBorders>
            <w:tcMar>
              <w:top w:w="100" w:type="dxa"/>
              <w:left w:w="100" w:type="dxa"/>
              <w:bottom w:w="100" w:type="dxa"/>
              <w:right w:w="100" w:type="dxa"/>
            </w:tcMar>
          </w:tcPr>
          <w:p w14:paraId="21157995" w14:textId="77777777" w:rsidR="00875BC3" w:rsidRDefault="007918C5">
            <w:r>
              <w:t>56.2%</w:t>
            </w:r>
          </w:p>
        </w:tc>
        <w:tc>
          <w:tcPr>
            <w:tcW w:w="1245" w:type="dxa"/>
            <w:tcBorders>
              <w:bottom w:val="single" w:sz="8" w:space="0" w:color="000000"/>
              <w:right w:val="single" w:sz="8" w:space="0" w:color="000000"/>
            </w:tcBorders>
            <w:tcMar>
              <w:top w:w="100" w:type="dxa"/>
              <w:left w:w="100" w:type="dxa"/>
              <w:bottom w:w="100" w:type="dxa"/>
              <w:right w:w="100" w:type="dxa"/>
            </w:tcMar>
          </w:tcPr>
          <w:p w14:paraId="4FE5FB1B" w14:textId="77777777" w:rsidR="00875BC3" w:rsidRDefault="007918C5">
            <w:r>
              <w:t>64.5%</w:t>
            </w:r>
          </w:p>
        </w:tc>
        <w:tc>
          <w:tcPr>
            <w:tcW w:w="1485" w:type="dxa"/>
            <w:tcBorders>
              <w:bottom w:val="single" w:sz="8" w:space="0" w:color="000000"/>
              <w:right w:val="single" w:sz="8" w:space="0" w:color="000000"/>
            </w:tcBorders>
            <w:tcMar>
              <w:top w:w="100" w:type="dxa"/>
              <w:left w:w="100" w:type="dxa"/>
              <w:bottom w:w="100" w:type="dxa"/>
              <w:right w:w="100" w:type="dxa"/>
            </w:tcMar>
          </w:tcPr>
          <w:p w14:paraId="44DF1A91" w14:textId="77777777" w:rsidR="00875BC3" w:rsidRDefault="007918C5">
            <w:r>
              <w:t>54.3%</w:t>
            </w:r>
          </w:p>
        </w:tc>
        <w:tc>
          <w:tcPr>
            <w:tcW w:w="1395" w:type="dxa"/>
            <w:tcBorders>
              <w:bottom w:val="single" w:sz="8" w:space="0" w:color="000000"/>
              <w:right w:val="single" w:sz="8" w:space="0" w:color="000000"/>
            </w:tcBorders>
            <w:tcMar>
              <w:top w:w="100" w:type="dxa"/>
              <w:left w:w="100" w:type="dxa"/>
              <w:bottom w:w="100" w:type="dxa"/>
              <w:right w:w="100" w:type="dxa"/>
            </w:tcMar>
          </w:tcPr>
          <w:p w14:paraId="3E0B0BC3" w14:textId="77777777" w:rsidR="00875BC3" w:rsidRDefault="007918C5">
            <w:r>
              <w:t>79.9%</w:t>
            </w:r>
          </w:p>
        </w:tc>
        <w:tc>
          <w:tcPr>
            <w:tcW w:w="1455" w:type="dxa"/>
            <w:tcBorders>
              <w:bottom w:val="single" w:sz="8" w:space="0" w:color="000000"/>
              <w:right w:val="single" w:sz="8" w:space="0" w:color="000000"/>
            </w:tcBorders>
            <w:tcMar>
              <w:top w:w="100" w:type="dxa"/>
              <w:left w:w="100" w:type="dxa"/>
              <w:bottom w:w="100" w:type="dxa"/>
              <w:right w:w="100" w:type="dxa"/>
            </w:tcMar>
          </w:tcPr>
          <w:p w14:paraId="48CEFE92" w14:textId="77777777" w:rsidR="00875BC3" w:rsidRDefault="007918C5">
            <w:r>
              <w:t>60.9%</w:t>
            </w:r>
          </w:p>
        </w:tc>
      </w:tr>
      <w:tr w:rsidR="00875BC3" w14:paraId="38C29968"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256A60" w14:textId="77777777" w:rsidR="00875BC3" w:rsidRDefault="007918C5">
            <w:r>
              <w:t>Pacific Islander</w:t>
            </w:r>
          </w:p>
        </w:tc>
        <w:tc>
          <w:tcPr>
            <w:tcW w:w="1500" w:type="dxa"/>
            <w:tcBorders>
              <w:bottom w:val="single" w:sz="8" w:space="0" w:color="000000"/>
              <w:right w:val="single" w:sz="8" w:space="0" w:color="000000"/>
            </w:tcBorders>
            <w:tcMar>
              <w:top w:w="100" w:type="dxa"/>
              <w:left w:w="100" w:type="dxa"/>
              <w:bottom w:w="100" w:type="dxa"/>
              <w:right w:w="100" w:type="dxa"/>
            </w:tcMar>
          </w:tcPr>
          <w:p w14:paraId="796EA04A" w14:textId="77777777" w:rsidR="00875BC3" w:rsidRDefault="007918C5">
            <w:r>
              <w:t>70.0%</w:t>
            </w:r>
          </w:p>
        </w:tc>
        <w:tc>
          <w:tcPr>
            <w:tcW w:w="1290" w:type="dxa"/>
            <w:tcBorders>
              <w:bottom w:val="single" w:sz="8" w:space="0" w:color="000000"/>
              <w:right w:val="single" w:sz="8" w:space="0" w:color="000000"/>
            </w:tcBorders>
            <w:tcMar>
              <w:top w:w="100" w:type="dxa"/>
              <w:left w:w="100" w:type="dxa"/>
              <w:bottom w:w="100" w:type="dxa"/>
              <w:right w:w="100" w:type="dxa"/>
            </w:tcMar>
          </w:tcPr>
          <w:p w14:paraId="240838A9" w14:textId="77777777" w:rsidR="00875BC3" w:rsidRDefault="007918C5">
            <w:r>
              <w:t>77.2%</w:t>
            </w:r>
          </w:p>
        </w:tc>
        <w:tc>
          <w:tcPr>
            <w:tcW w:w="1245" w:type="dxa"/>
            <w:tcBorders>
              <w:bottom w:val="single" w:sz="8" w:space="0" w:color="000000"/>
              <w:right w:val="single" w:sz="8" w:space="0" w:color="000000"/>
            </w:tcBorders>
            <w:tcMar>
              <w:top w:w="100" w:type="dxa"/>
              <w:left w:w="100" w:type="dxa"/>
              <w:bottom w:w="100" w:type="dxa"/>
              <w:right w:w="100" w:type="dxa"/>
            </w:tcMar>
          </w:tcPr>
          <w:p w14:paraId="6A7275F2" w14:textId="77777777" w:rsidR="00875BC3" w:rsidRDefault="007918C5">
            <w:r>
              <w:t>58.0%</w:t>
            </w:r>
          </w:p>
        </w:tc>
        <w:tc>
          <w:tcPr>
            <w:tcW w:w="1485" w:type="dxa"/>
            <w:tcBorders>
              <w:bottom w:val="single" w:sz="8" w:space="0" w:color="000000"/>
              <w:right w:val="single" w:sz="8" w:space="0" w:color="000000"/>
            </w:tcBorders>
            <w:tcMar>
              <w:top w:w="100" w:type="dxa"/>
              <w:left w:w="100" w:type="dxa"/>
              <w:bottom w:w="100" w:type="dxa"/>
              <w:right w:w="100" w:type="dxa"/>
            </w:tcMar>
          </w:tcPr>
          <w:p w14:paraId="4423BADA" w14:textId="77777777" w:rsidR="00875BC3" w:rsidRDefault="007918C5">
            <w:r>
              <w:t>100.0%</w:t>
            </w:r>
          </w:p>
        </w:tc>
        <w:tc>
          <w:tcPr>
            <w:tcW w:w="1395" w:type="dxa"/>
            <w:tcBorders>
              <w:bottom w:val="single" w:sz="8" w:space="0" w:color="000000"/>
              <w:right w:val="single" w:sz="8" w:space="0" w:color="000000"/>
            </w:tcBorders>
            <w:tcMar>
              <w:top w:w="100" w:type="dxa"/>
              <w:left w:w="100" w:type="dxa"/>
              <w:bottom w:w="100" w:type="dxa"/>
              <w:right w:w="100" w:type="dxa"/>
            </w:tcMar>
          </w:tcPr>
          <w:p w14:paraId="29C4134A" w14:textId="77777777" w:rsidR="00875BC3" w:rsidRDefault="007918C5">
            <w:r>
              <w:t>58.6%</w:t>
            </w:r>
          </w:p>
        </w:tc>
        <w:tc>
          <w:tcPr>
            <w:tcW w:w="1455" w:type="dxa"/>
            <w:tcBorders>
              <w:bottom w:val="single" w:sz="8" w:space="0" w:color="000000"/>
              <w:right w:val="single" w:sz="8" w:space="0" w:color="000000"/>
            </w:tcBorders>
            <w:tcMar>
              <w:top w:w="100" w:type="dxa"/>
              <w:left w:w="100" w:type="dxa"/>
              <w:bottom w:w="100" w:type="dxa"/>
              <w:right w:w="100" w:type="dxa"/>
            </w:tcMar>
          </w:tcPr>
          <w:p w14:paraId="6224CC68" w14:textId="77777777" w:rsidR="00875BC3" w:rsidRDefault="007918C5">
            <w:r>
              <w:t>56.0%</w:t>
            </w:r>
          </w:p>
        </w:tc>
      </w:tr>
      <w:tr w:rsidR="00875BC3" w14:paraId="143EE639"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840CA4" w14:textId="77777777" w:rsidR="00875BC3" w:rsidRDefault="007918C5">
            <w:r>
              <w:t>Hispanic</w:t>
            </w:r>
          </w:p>
        </w:tc>
        <w:tc>
          <w:tcPr>
            <w:tcW w:w="1500" w:type="dxa"/>
            <w:tcBorders>
              <w:bottom w:val="single" w:sz="8" w:space="0" w:color="000000"/>
              <w:right w:val="single" w:sz="8" w:space="0" w:color="000000"/>
            </w:tcBorders>
            <w:tcMar>
              <w:top w:w="100" w:type="dxa"/>
              <w:left w:w="100" w:type="dxa"/>
              <w:bottom w:w="100" w:type="dxa"/>
              <w:right w:w="100" w:type="dxa"/>
            </w:tcMar>
          </w:tcPr>
          <w:p w14:paraId="10E5AB99" w14:textId="77777777" w:rsidR="00875BC3" w:rsidRDefault="007918C5">
            <w:r>
              <w:t>55.4%</w:t>
            </w:r>
          </w:p>
        </w:tc>
        <w:tc>
          <w:tcPr>
            <w:tcW w:w="1290" w:type="dxa"/>
            <w:tcBorders>
              <w:bottom w:val="single" w:sz="8" w:space="0" w:color="000000"/>
              <w:right w:val="single" w:sz="8" w:space="0" w:color="000000"/>
            </w:tcBorders>
            <w:tcMar>
              <w:top w:w="100" w:type="dxa"/>
              <w:left w:w="100" w:type="dxa"/>
              <w:bottom w:w="100" w:type="dxa"/>
              <w:right w:w="100" w:type="dxa"/>
            </w:tcMar>
          </w:tcPr>
          <w:p w14:paraId="55F4D303" w14:textId="77777777" w:rsidR="00875BC3" w:rsidRDefault="007918C5">
            <w:r>
              <w:t>58.0%</w:t>
            </w:r>
          </w:p>
        </w:tc>
        <w:tc>
          <w:tcPr>
            <w:tcW w:w="1245" w:type="dxa"/>
            <w:tcBorders>
              <w:bottom w:val="single" w:sz="8" w:space="0" w:color="000000"/>
              <w:right w:val="single" w:sz="8" w:space="0" w:color="000000"/>
            </w:tcBorders>
            <w:tcMar>
              <w:top w:w="100" w:type="dxa"/>
              <w:left w:w="100" w:type="dxa"/>
              <w:bottom w:w="100" w:type="dxa"/>
              <w:right w:w="100" w:type="dxa"/>
            </w:tcMar>
          </w:tcPr>
          <w:p w14:paraId="2C501067" w14:textId="77777777" w:rsidR="00875BC3" w:rsidRDefault="007918C5">
            <w:r>
              <w:t>56.8%</w:t>
            </w:r>
          </w:p>
        </w:tc>
        <w:tc>
          <w:tcPr>
            <w:tcW w:w="1485" w:type="dxa"/>
            <w:tcBorders>
              <w:bottom w:val="single" w:sz="8" w:space="0" w:color="000000"/>
              <w:right w:val="single" w:sz="8" w:space="0" w:color="000000"/>
            </w:tcBorders>
            <w:tcMar>
              <w:top w:w="100" w:type="dxa"/>
              <w:left w:w="100" w:type="dxa"/>
              <w:bottom w:w="100" w:type="dxa"/>
              <w:right w:w="100" w:type="dxa"/>
            </w:tcMar>
          </w:tcPr>
          <w:p w14:paraId="169211FE" w14:textId="77777777" w:rsidR="00875BC3" w:rsidRDefault="007918C5">
            <w:r>
              <w:t>50.3%</w:t>
            </w:r>
          </w:p>
        </w:tc>
        <w:tc>
          <w:tcPr>
            <w:tcW w:w="1395" w:type="dxa"/>
            <w:tcBorders>
              <w:bottom w:val="single" w:sz="8" w:space="0" w:color="000000"/>
              <w:right w:val="single" w:sz="8" w:space="0" w:color="000000"/>
            </w:tcBorders>
            <w:tcMar>
              <w:top w:w="100" w:type="dxa"/>
              <w:left w:w="100" w:type="dxa"/>
              <w:bottom w:w="100" w:type="dxa"/>
              <w:right w:w="100" w:type="dxa"/>
            </w:tcMar>
          </w:tcPr>
          <w:p w14:paraId="7CC8F731" w14:textId="77777777" w:rsidR="00875BC3" w:rsidRDefault="007918C5">
            <w:r>
              <w:t>66.7%</w:t>
            </w:r>
          </w:p>
        </w:tc>
        <w:tc>
          <w:tcPr>
            <w:tcW w:w="1455" w:type="dxa"/>
            <w:tcBorders>
              <w:bottom w:val="single" w:sz="8" w:space="0" w:color="000000"/>
              <w:right w:val="single" w:sz="8" w:space="0" w:color="000000"/>
            </w:tcBorders>
            <w:tcMar>
              <w:top w:w="100" w:type="dxa"/>
              <w:left w:w="100" w:type="dxa"/>
              <w:bottom w:w="100" w:type="dxa"/>
              <w:right w:w="100" w:type="dxa"/>
            </w:tcMar>
          </w:tcPr>
          <w:p w14:paraId="44BFFC4D" w14:textId="77777777" w:rsidR="00875BC3" w:rsidRDefault="007918C5">
            <w:r>
              <w:t>46.7%</w:t>
            </w:r>
          </w:p>
        </w:tc>
      </w:tr>
      <w:tr w:rsidR="00875BC3" w14:paraId="24D70FFD"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12E0CA" w14:textId="77777777" w:rsidR="00875BC3" w:rsidRDefault="007918C5">
            <w:r>
              <w:t>Others</w:t>
            </w:r>
          </w:p>
        </w:tc>
        <w:tc>
          <w:tcPr>
            <w:tcW w:w="1500" w:type="dxa"/>
            <w:tcBorders>
              <w:bottom w:val="single" w:sz="8" w:space="0" w:color="000000"/>
              <w:right w:val="single" w:sz="8" w:space="0" w:color="000000"/>
            </w:tcBorders>
            <w:tcMar>
              <w:top w:w="100" w:type="dxa"/>
              <w:left w:w="100" w:type="dxa"/>
              <w:bottom w:w="100" w:type="dxa"/>
              <w:right w:w="100" w:type="dxa"/>
            </w:tcMar>
          </w:tcPr>
          <w:p w14:paraId="0B46752F" w14:textId="77777777" w:rsidR="00875BC3" w:rsidRDefault="007918C5">
            <w:r>
              <w:t>46.9%</w:t>
            </w:r>
          </w:p>
        </w:tc>
        <w:tc>
          <w:tcPr>
            <w:tcW w:w="1290" w:type="dxa"/>
            <w:tcBorders>
              <w:bottom w:val="single" w:sz="8" w:space="0" w:color="000000"/>
              <w:right w:val="single" w:sz="8" w:space="0" w:color="000000"/>
            </w:tcBorders>
            <w:tcMar>
              <w:top w:w="100" w:type="dxa"/>
              <w:left w:w="100" w:type="dxa"/>
              <w:bottom w:w="100" w:type="dxa"/>
              <w:right w:w="100" w:type="dxa"/>
            </w:tcMar>
          </w:tcPr>
          <w:p w14:paraId="290A50B6" w14:textId="77777777" w:rsidR="00875BC3" w:rsidRDefault="007918C5">
            <w:r>
              <w:t>47.0%</w:t>
            </w:r>
          </w:p>
        </w:tc>
        <w:tc>
          <w:tcPr>
            <w:tcW w:w="1245" w:type="dxa"/>
            <w:tcBorders>
              <w:bottom w:val="single" w:sz="8" w:space="0" w:color="000000"/>
              <w:right w:val="single" w:sz="8" w:space="0" w:color="000000"/>
            </w:tcBorders>
            <w:tcMar>
              <w:top w:w="100" w:type="dxa"/>
              <w:left w:w="100" w:type="dxa"/>
              <w:bottom w:w="100" w:type="dxa"/>
              <w:right w:w="100" w:type="dxa"/>
            </w:tcMar>
          </w:tcPr>
          <w:p w14:paraId="0BC71848" w14:textId="77777777" w:rsidR="00875BC3" w:rsidRDefault="007918C5">
            <w:r>
              <w:t>42.7%</w:t>
            </w:r>
          </w:p>
        </w:tc>
        <w:tc>
          <w:tcPr>
            <w:tcW w:w="1485" w:type="dxa"/>
            <w:tcBorders>
              <w:bottom w:val="single" w:sz="8" w:space="0" w:color="000000"/>
              <w:right w:val="single" w:sz="8" w:space="0" w:color="000000"/>
            </w:tcBorders>
            <w:tcMar>
              <w:top w:w="100" w:type="dxa"/>
              <w:left w:w="100" w:type="dxa"/>
              <w:bottom w:w="100" w:type="dxa"/>
              <w:right w:w="100" w:type="dxa"/>
            </w:tcMar>
          </w:tcPr>
          <w:p w14:paraId="6FFB448A" w14:textId="77777777" w:rsidR="00875BC3" w:rsidRDefault="007918C5">
            <w:r>
              <w:t>53.2%</w:t>
            </w:r>
          </w:p>
        </w:tc>
        <w:tc>
          <w:tcPr>
            <w:tcW w:w="1395" w:type="dxa"/>
            <w:tcBorders>
              <w:bottom w:val="single" w:sz="8" w:space="0" w:color="000000"/>
              <w:right w:val="single" w:sz="8" w:space="0" w:color="000000"/>
            </w:tcBorders>
            <w:tcMar>
              <w:top w:w="100" w:type="dxa"/>
              <w:left w:w="100" w:type="dxa"/>
              <w:bottom w:w="100" w:type="dxa"/>
              <w:right w:w="100" w:type="dxa"/>
            </w:tcMar>
          </w:tcPr>
          <w:p w14:paraId="15815FCA" w14:textId="77777777" w:rsidR="00875BC3" w:rsidRDefault="007918C5">
            <w:r>
              <w:t>46.1%</w:t>
            </w:r>
          </w:p>
        </w:tc>
        <w:tc>
          <w:tcPr>
            <w:tcW w:w="1455" w:type="dxa"/>
            <w:tcBorders>
              <w:bottom w:val="single" w:sz="8" w:space="0" w:color="000000"/>
              <w:right w:val="single" w:sz="8" w:space="0" w:color="000000"/>
            </w:tcBorders>
            <w:tcMar>
              <w:top w:w="100" w:type="dxa"/>
              <w:left w:w="100" w:type="dxa"/>
              <w:bottom w:w="100" w:type="dxa"/>
              <w:right w:w="100" w:type="dxa"/>
            </w:tcMar>
          </w:tcPr>
          <w:p w14:paraId="1F449363" w14:textId="77777777" w:rsidR="00875BC3" w:rsidRDefault="007918C5">
            <w:r>
              <w:t>30.1%</w:t>
            </w:r>
          </w:p>
        </w:tc>
      </w:tr>
    </w:tbl>
    <w:p w14:paraId="698D1A46" w14:textId="77777777" w:rsidR="00875BC3" w:rsidRPr="008224B9" w:rsidRDefault="007918C5">
      <w:pPr>
        <w:rPr>
          <w:sz w:val="16"/>
          <w:szCs w:val="18"/>
        </w:rPr>
      </w:pPr>
      <w:r w:rsidRPr="008224B9">
        <w:rPr>
          <w:sz w:val="16"/>
          <w:szCs w:val="18"/>
        </w:rPr>
        <w:t>Source. 2008-2012 CHAS</w:t>
      </w:r>
    </w:p>
    <w:p w14:paraId="6535E690" w14:textId="77777777" w:rsidR="00875BC3" w:rsidRDefault="00875BC3"/>
    <w:p w14:paraId="5FDB1B2C" w14:textId="77777777" w:rsidR="00875BC3" w:rsidRDefault="00875BC3"/>
    <w:p w14:paraId="73AE404C" w14:textId="77777777" w:rsidR="00875BC3" w:rsidRDefault="00875BC3"/>
    <w:p w14:paraId="7EE5913A" w14:textId="77777777" w:rsidR="00875BC3" w:rsidRDefault="00875BC3">
      <w:pPr>
        <w:spacing w:line="256" w:lineRule="auto"/>
      </w:pPr>
    </w:p>
    <w:p w14:paraId="48015462" w14:textId="77777777" w:rsidR="007918C5" w:rsidRDefault="007918C5">
      <w:r>
        <w:t xml:space="preserve"> </w:t>
      </w:r>
    </w:p>
    <w:p w14:paraId="760F063F" w14:textId="77777777" w:rsidR="007918C5" w:rsidRDefault="007918C5">
      <w:r>
        <w:br w:type="page"/>
      </w:r>
    </w:p>
    <w:p w14:paraId="396F8623" w14:textId="77777777" w:rsidR="00875BC3" w:rsidRDefault="00875BC3"/>
    <w:p w14:paraId="0679D23F" w14:textId="77777777" w:rsidR="00875BC3" w:rsidRPr="009B6F33" w:rsidRDefault="007918C5">
      <w:pPr>
        <w:rPr>
          <w:rFonts w:ascii="Cambria" w:hAnsi="Cambria"/>
          <w:b/>
        </w:rPr>
      </w:pPr>
      <w:r w:rsidRPr="009B6F33">
        <w:rPr>
          <w:rFonts w:ascii="Cambria" w:hAnsi="Cambria"/>
          <w:b/>
        </w:rPr>
        <w:t xml:space="preserve">4) Housing Mismatch </w:t>
      </w:r>
    </w:p>
    <w:p w14:paraId="0A837316" w14:textId="77777777" w:rsidR="00875BC3" w:rsidRPr="008224B9" w:rsidRDefault="007918C5">
      <w:pPr>
        <w:rPr>
          <w:rFonts w:ascii="Cambria" w:hAnsi="Cambria"/>
        </w:rPr>
      </w:pPr>
      <w:r w:rsidRPr="008224B9">
        <w:rPr>
          <w:rFonts w:ascii="Cambria" w:hAnsi="Cambria"/>
        </w:rPr>
        <w:t xml:space="preserve">There are already substantial shortages of housing for low incomes along the corridor. This supply shortage is exacerbated when households live in units that are priced for lower-income households’ affordability. This crowding out of lower-income households is most prevalent in units that are affordable to households making 30-50% of the area median family income. Over half the units affordable to these very low-income households are inhabited by households with higher incomes. </w:t>
      </w:r>
    </w:p>
    <w:p w14:paraId="6FE2CF4F" w14:textId="77777777" w:rsidR="00875BC3" w:rsidRDefault="00875BC3"/>
    <w:p w14:paraId="6B37EC01" w14:textId="77777777" w:rsidR="00875BC3" w:rsidRDefault="007918C5">
      <w:r>
        <w:rPr>
          <w:b/>
        </w:rPr>
        <w:t>Number of Affordable Rental Housing Units</w:t>
      </w:r>
    </w:p>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1125"/>
        <w:gridCol w:w="1470"/>
        <w:gridCol w:w="1245"/>
        <w:gridCol w:w="1215"/>
        <w:gridCol w:w="1260"/>
        <w:gridCol w:w="1245"/>
        <w:gridCol w:w="1320"/>
      </w:tblGrid>
      <w:tr w:rsidR="00875BC3" w14:paraId="113D7D87" w14:textId="77777777">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C831" w14:textId="77777777" w:rsidR="00875BC3" w:rsidRDefault="00875BC3"/>
        </w:tc>
        <w:tc>
          <w:tcPr>
            <w:tcW w:w="14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BDD3F1" w14:textId="77777777" w:rsidR="00875BC3" w:rsidRDefault="007918C5">
            <w:r>
              <w:rPr>
                <w:b/>
              </w:rPr>
              <w:t>Multnomah</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78C415" w14:textId="77777777" w:rsidR="00875BC3" w:rsidRDefault="007918C5">
            <w:r>
              <w:rPr>
                <w:b/>
              </w:rPr>
              <w:t>Portland</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0712F3" w14:textId="77777777" w:rsidR="00875BC3" w:rsidRDefault="007918C5">
            <w:r>
              <w:rPr>
                <w:b/>
              </w:rPr>
              <w:t>Corridor</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6ECC64" w14:textId="77777777" w:rsidR="00875BC3" w:rsidRDefault="007918C5">
            <w:r>
              <w:rPr>
                <w:b/>
              </w:rPr>
              <w:t>Central Eastside</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A4098C" w14:textId="77777777" w:rsidR="00875BC3" w:rsidRDefault="007918C5">
            <w:r>
              <w:rPr>
                <w:b/>
              </w:rPr>
              <w:t>East Portland</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0F04F2" w14:textId="77777777" w:rsidR="00875BC3" w:rsidRDefault="007918C5">
            <w:r>
              <w:rPr>
                <w:b/>
              </w:rPr>
              <w:t>Gresham West</w:t>
            </w:r>
          </w:p>
        </w:tc>
      </w:tr>
      <w:tr w:rsidR="00875BC3" w14:paraId="6B48DE72" w14:textId="77777777">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054DB3" w14:textId="77777777" w:rsidR="00875BC3" w:rsidRDefault="007918C5">
            <w:r>
              <w:t>Number of RHU</w:t>
            </w:r>
          </w:p>
        </w:tc>
        <w:tc>
          <w:tcPr>
            <w:tcW w:w="1470" w:type="dxa"/>
            <w:tcBorders>
              <w:bottom w:val="single" w:sz="8" w:space="0" w:color="000000"/>
              <w:right w:val="single" w:sz="8" w:space="0" w:color="000000"/>
            </w:tcBorders>
            <w:tcMar>
              <w:top w:w="100" w:type="dxa"/>
              <w:left w:w="100" w:type="dxa"/>
              <w:bottom w:w="100" w:type="dxa"/>
              <w:right w:w="100" w:type="dxa"/>
            </w:tcMar>
          </w:tcPr>
          <w:p w14:paraId="0982CBEF" w14:textId="77777777" w:rsidR="00875BC3" w:rsidRDefault="007918C5">
            <w:r>
              <w:t>107,606</w:t>
            </w:r>
          </w:p>
        </w:tc>
        <w:tc>
          <w:tcPr>
            <w:tcW w:w="1245" w:type="dxa"/>
            <w:tcBorders>
              <w:bottom w:val="single" w:sz="8" w:space="0" w:color="000000"/>
              <w:right w:val="single" w:sz="8" w:space="0" w:color="000000"/>
            </w:tcBorders>
            <w:tcMar>
              <w:top w:w="100" w:type="dxa"/>
              <w:left w:w="100" w:type="dxa"/>
              <w:bottom w:w="100" w:type="dxa"/>
              <w:right w:w="100" w:type="dxa"/>
            </w:tcMar>
          </w:tcPr>
          <w:p w14:paraId="79D645B2" w14:textId="77777777" w:rsidR="00875BC3" w:rsidRDefault="007918C5">
            <w:r>
              <w:t>87,219</w:t>
            </w:r>
          </w:p>
        </w:tc>
        <w:tc>
          <w:tcPr>
            <w:tcW w:w="1215" w:type="dxa"/>
            <w:tcBorders>
              <w:bottom w:val="single" w:sz="8" w:space="0" w:color="000000"/>
              <w:right w:val="single" w:sz="8" w:space="0" w:color="000000"/>
            </w:tcBorders>
            <w:tcMar>
              <w:top w:w="100" w:type="dxa"/>
              <w:left w:w="100" w:type="dxa"/>
              <w:bottom w:w="100" w:type="dxa"/>
              <w:right w:w="100" w:type="dxa"/>
            </w:tcMar>
          </w:tcPr>
          <w:p w14:paraId="2C3CAE82" w14:textId="77777777" w:rsidR="00875BC3" w:rsidRDefault="007918C5">
            <w:r>
              <w:t>29,869</w:t>
            </w:r>
          </w:p>
          <w:p w14:paraId="2EFF79FC" w14:textId="77777777" w:rsidR="00875BC3" w:rsidRDefault="007918C5">
            <w:r>
              <w:t>(27.8%)</w:t>
            </w:r>
          </w:p>
        </w:tc>
        <w:tc>
          <w:tcPr>
            <w:tcW w:w="1260" w:type="dxa"/>
            <w:tcBorders>
              <w:bottom w:val="single" w:sz="8" w:space="0" w:color="000000"/>
              <w:right w:val="single" w:sz="8" w:space="0" w:color="000000"/>
            </w:tcBorders>
            <w:tcMar>
              <w:top w:w="100" w:type="dxa"/>
              <w:left w:w="100" w:type="dxa"/>
              <w:bottom w:w="100" w:type="dxa"/>
              <w:right w:w="100" w:type="dxa"/>
            </w:tcMar>
          </w:tcPr>
          <w:p w14:paraId="19F77A56" w14:textId="77777777" w:rsidR="00875BC3" w:rsidRDefault="007918C5">
            <w:r>
              <w:t>8,145</w:t>
            </w:r>
          </w:p>
        </w:tc>
        <w:tc>
          <w:tcPr>
            <w:tcW w:w="1245" w:type="dxa"/>
            <w:tcBorders>
              <w:bottom w:val="single" w:sz="8" w:space="0" w:color="000000"/>
              <w:right w:val="single" w:sz="8" w:space="0" w:color="000000"/>
            </w:tcBorders>
            <w:tcMar>
              <w:top w:w="100" w:type="dxa"/>
              <w:left w:w="100" w:type="dxa"/>
              <w:bottom w:w="100" w:type="dxa"/>
              <w:right w:w="100" w:type="dxa"/>
            </w:tcMar>
          </w:tcPr>
          <w:p w14:paraId="461CFB26" w14:textId="77777777" w:rsidR="00875BC3" w:rsidRDefault="007918C5">
            <w:r>
              <w:t>13,045</w:t>
            </w:r>
          </w:p>
        </w:tc>
        <w:tc>
          <w:tcPr>
            <w:tcW w:w="1320" w:type="dxa"/>
            <w:tcBorders>
              <w:bottom w:val="single" w:sz="8" w:space="0" w:color="000000"/>
              <w:right w:val="single" w:sz="8" w:space="0" w:color="000000"/>
            </w:tcBorders>
            <w:tcMar>
              <w:top w:w="100" w:type="dxa"/>
              <w:left w:w="100" w:type="dxa"/>
              <w:bottom w:w="100" w:type="dxa"/>
              <w:right w:w="100" w:type="dxa"/>
            </w:tcMar>
          </w:tcPr>
          <w:p w14:paraId="60DBCCB3" w14:textId="77777777" w:rsidR="00875BC3" w:rsidRDefault="007918C5">
            <w:r>
              <w:t>8,679</w:t>
            </w:r>
          </w:p>
        </w:tc>
      </w:tr>
    </w:tbl>
    <w:p w14:paraId="658A9913" w14:textId="77777777" w:rsidR="00875BC3" w:rsidRPr="008224B9" w:rsidRDefault="007918C5">
      <w:pPr>
        <w:rPr>
          <w:sz w:val="16"/>
          <w:szCs w:val="18"/>
        </w:rPr>
      </w:pPr>
      <w:r w:rsidRPr="008224B9">
        <w:rPr>
          <w:sz w:val="16"/>
          <w:szCs w:val="18"/>
        </w:rPr>
        <w:t xml:space="preserve">Source. 2008-2012 CHAS, affordable rental housing units are regarded as those having rental rates below 80% of RHUD. </w:t>
      </w:r>
    </w:p>
    <w:p w14:paraId="111F49D8" w14:textId="77777777" w:rsidR="00875BC3" w:rsidRDefault="00875BC3"/>
    <w:p w14:paraId="78609212" w14:textId="77777777" w:rsidR="00875BC3" w:rsidRPr="008224B9" w:rsidRDefault="007918C5">
      <w:pPr>
        <w:rPr>
          <w:rFonts w:ascii="Cambria" w:hAnsi="Cambria"/>
        </w:rPr>
      </w:pPr>
      <w:r w:rsidRPr="008224B9">
        <w:rPr>
          <w:rFonts w:ascii="Cambria" w:hAnsi="Cambria"/>
        </w:rPr>
        <w:t xml:space="preserve">While affordable units in the corridor accounts for 28% of units in the County, 34% of those affordable in the corridor are taken by higher income households. </w:t>
      </w:r>
    </w:p>
    <w:p w14:paraId="2BD0BBFE" w14:textId="77777777" w:rsidR="00875BC3" w:rsidRDefault="00875BC3"/>
    <w:p w14:paraId="01C8D811" w14:textId="77777777" w:rsidR="00875BC3" w:rsidRDefault="00875BC3"/>
    <w:p w14:paraId="1115C105" w14:textId="77777777" w:rsidR="00875BC3" w:rsidRDefault="007918C5">
      <w:r>
        <w:rPr>
          <w:b/>
        </w:rPr>
        <w:t>Housing Mismatch. (% of units affordable at an income level, occupied by higher income households)</w:t>
      </w:r>
    </w:p>
    <w:p w14:paraId="0A9AA32E" w14:textId="77777777" w:rsidR="00875BC3" w:rsidRDefault="00875BC3"/>
    <w:tbl>
      <w:tblPr>
        <w:tblStyle w:val="a5"/>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1500"/>
        <w:gridCol w:w="1245"/>
        <w:gridCol w:w="1230"/>
        <w:gridCol w:w="1275"/>
        <w:gridCol w:w="1260"/>
        <w:gridCol w:w="1605"/>
      </w:tblGrid>
      <w:tr w:rsidR="00875BC3" w14:paraId="47F13768" w14:textId="77777777">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72D554" w14:textId="77777777" w:rsidR="00875BC3" w:rsidRDefault="007918C5">
            <w:r>
              <w:t xml:space="preserve"> </w:t>
            </w:r>
          </w:p>
        </w:tc>
        <w:tc>
          <w:tcPr>
            <w:tcW w:w="1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6EEB80" w14:textId="77777777" w:rsidR="00875BC3" w:rsidRDefault="007918C5">
            <w:r>
              <w:rPr>
                <w:b/>
              </w:rPr>
              <w:t>Multnomah</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4D9499" w14:textId="77777777" w:rsidR="00875BC3" w:rsidRDefault="007918C5">
            <w:r>
              <w:rPr>
                <w:b/>
              </w:rPr>
              <w:t>Portland</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4A783E" w14:textId="77777777" w:rsidR="00875BC3" w:rsidRDefault="007918C5">
            <w:r>
              <w:rPr>
                <w:b/>
              </w:rPr>
              <w:t>Corridor</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F3A104" w14:textId="77777777" w:rsidR="00875BC3" w:rsidRDefault="007918C5">
            <w:r>
              <w:rPr>
                <w:b/>
              </w:rPr>
              <w:t>Central Eastside</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74DCA9" w14:textId="77777777" w:rsidR="00875BC3" w:rsidRDefault="007918C5">
            <w:r>
              <w:rPr>
                <w:b/>
              </w:rPr>
              <w:t>East Portland</w:t>
            </w:r>
          </w:p>
        </w:tc>
        <w:tc>
          <w:tcPr>
            <w:tcW w:w="1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4220CE" w14:textId="77777777" w:rsidR="00875BC3" w:rsidRDefault="007918C5">
            <w:r>
              <w:rPr>
                <w:b/>
              </w:rPr>
              <w:t>Gresham West</w:t>
            </w:r>
          </w:p>
        </w:tc>
      </w:tr>
      <w:tr w:rsidR="00875BC3" w14:paraId="4095B611" w14:textId="77777777">
        <w:tc>
          <w:tcPr>
            <w:tcW w:w="1530" w:type="dxa"/>
            <w:tcBorders>
              <w:left w:val="single" w:sz="8" w:space="0" w:color="000000"/>
              <w:bottom w:val="single" w:sz="8" w:space="0" w:color="000000"/>
              <w:right w:val="single" w:sz="8" w:space="0" w:color="000000"/>
            </w:tcBorders>
            <w:tcMar>
              <w:top w:w="20" w:type="dxa"/>
              <w:left w:w="20" w:type="dxa"/>
              <w:bottom w:w="20" w:type="dxa"/>
              <w:right w:w="20" w:type="dxa"/>
            </w:tcMar>
          </w:tcPr>
          <w:p w14:paraId="0BE76FF2" w14:textId="77777777" w:rsidR="00875BC3" w:rsidRDefault="007918C5">
            <w:r>
              <w:t>Affordable</w:t>
            </w:r>
          </w:p>
          <w:p w14:paraId="48BE3E40" w14:textId="77777777" w:rsidR="00875BC3" w:rsidRDefault="007918C5">
            <w:r>
              <w:t>RHU</w:t>
            </w:r>
          </w:p>
        </w:tc>
        <w:tc>
          <w:tcPr>
            <w:tcW w:w="1500" w:type="dxa"/>
            <w:tcBorders>
              <w:bottom w:val="single" w:sz="8" w:space="0" w:color="000000"/>
              <w:right w:val="single" w:sz="8" w:space="0" w:color="000000"/>
            </w:tcBorders>
            <w:tcMar>
              <w:top w:w="100" w:type="dxa"/>
              <w:left w:w="100" w:type="dxa"/>
              <w:bottom w:w="100" w:type="dxa"/>
              <w:right w:w="100" w:type="dxa"/>
            </w:tcMar>
          </w:tcPr>
          <w:p w14:paraId="456704F3" w14:textId="77777777" w:rsidR="00875BC3" w:rsidRDefault="007918C5">
            <w:r>
              <w:t>35.3%</w:t>
            </w:r>
          </w:p>
        </w:tc>
        <w:tc>
          <w:tcPr>
            <w:tcW w:w="1245" w:type="dxa"/>
            <w:tcBorders>
              <w:bottom w:val="single" w:sz="8" w:space="0" w:color="000000"/>
              <w:right w:val="single" w:sz="8" w:space="0" w:color="000000"/>
            </w:tcBorders>
            <w:tcMar>
              <w:top w:w="100" w:type="dxa"/>
              <w:left w:w="100" w:type="dxa"/>
              <w:bottom w:w="100" w:type="dxa"/>
              <w:right w:w="100" w:type="dxa"/>
            </w:tcMar>
          </w:tcPr>
          <w:p w14:paraId="1C35C71B" w14:textId="77777777" w:rsidR="00875BC3" w:rsidRDefault="007918C5">
            <w:r>
              <w:t>35.7%</w:t>
            </w:r>
          </w:p>
        </w:tc>
        <w:tc>
          <w:tcPr>
            <w:tcW w:w="1230" w:type="dxa"/>
            <w:tcBorders>
              <w:bottom w:val="single" w:sz="8" w:space="0" w:color="000000"/>
              <w:right w:val="single" w:sz="8" w:space="0" w:color="000000"/>
            </w:tcBorders>
            <w:tcMar>
              <w:top w:w="100" w:type="dxa"/>
              <w:left w:w="100" w:type="dxa"/>
              <w:bottom w:w="100" w:type="dxa"/>
              <w:right w:w="100" w:type="dxa"/>
            </w:tcMar>
          </w:tcPr>
          <w:p w14:paraId="56240EB4" w14:textId="77777777" w:rsidR="00875BC3" w:rsidRDefault="007918C5">
            <w:r>
              <w:t>34.0%</w:t>
            </w:r>
          </w:p>
        </w:tc>
        <w:tc>
          <w:tcPr>
            <w:tcW w:w="1275" w:type="dxa"/>
            <w:tcBorders>
              <w:bottom w:val="single" w:sz="8" w:space="0" w:color="000000"/>
              <w:right w:val="single" w:sz="8" w:space="0" w:color="000000"/>
            </w:tcBorders>
            <w:tcMar>
              <w:top w:w="100" w:type="dxa"/>
              <w:left w:w="100" w:type="dxa"/>
              <w:bottom w:w="100" w:type="dxa"/>
              <w:right w:w="100" w:type="dxa"/>
            </w:tcMar>
          </w:tcPr>
          <w:p w14:paraId="4054FC90" w14:textId="77777777" w:rsidR="00875BC3" w:rsidRDefault="007918C5">
            <w:r>
              <w:t>40.2%</w:t>
            </w:r>
          </w:p>
        </w:tc>
        <w:tc>
          <w:tcPr>
            <w:tcW w:w="1260" w:type="dxa"/>
            <w:tcBorders>
              <w:bottom w:val="single" w:sz="8" w:space="0" w:color="000000"/>
              <w:right w:val="single" w:sz="8" w:space="0" w:color="000000"/>
            </w:tcBorders>
            <w:tcMar>
              <w:top w:w="100" w:type="dxa"/>
              <w:left w:w="100" w:type="dxa"/>
              <w:bottom w:w="100" w:type="dxa"/>
              <w:right w:w="100" w:type="dxa"/>
            </w:tcMar>
          </w:tcPr>
          <w:p w14:paraId="1769ECBE" w14:textId="77777777" w:rsidR="00875BC3" w:rsidRDefault="007918C5">
            <w:r>
              <w:t>30.9%</w:t>
            </w:r>
          </w:p>
        </w:tc>
        <w:tc>
          <w:tcPr>
            <w:tcW w:w="1605" w:type="dxa"/>
            <w:tcBorders>
              <w:bottom w:val="single" w:sz="8" w:space="0" w:color="000000"/>
              <w:right w:val="single" w:sz="8" w:space="0" w:color="000000"/>
            </w:tcBorders>
            <w:tcMar>
              <w:top w:w="100" w:type="dxa"/>
              <w:left w:w="100" w:type="dxa"/>
              <w:bottom w:w="100" w:type="dxa"/>
              <w:right w:w="100" w:type="dxa"/>
            </w:tcMar>
          </w:tcPr>
          <w:p w14:paraId="55ABF2FD" w14:textId="77777777" w:rsidR="00875BC3" w:rsidRDefault="007918C5">
            <w:r>
              <w:t>32.8%</w:t>
            </w:r>
          </w:p>
        </w:tc>
      </w:tr>
      <w:tr w:rsidR="00875BC3" w14:paraId="0ECEADBD" w14:textId="77777777">
        <w:tc>
          <w:tcPr>
            <w:tcW w:w="1530" w:type="dxa"/>
            <w:tcBorders>
              <w:left w:val="single" w:sz="8" w:space="0" w:color="000000"/>
              <w:bottom w:val="single" w:sz="8" w:space="0" w:color="000000"/>
              <w:right w:val="single" w:sz="8" w:space="0" w:color="000000"/>
            </w:tcBorders>
            <w:tcMar>
              <w:top w:w="20" w:type="dxa"/>
              <w:left w:w="20" w:type="dxa"/>
              <w:bottom w:w="20" w:type="dxa"/>
              <w:right w:w="20" w:type="dxa"/>
            </w:tcMar>
          </w:tcPr>
          <w:p w14:paraId="4A768211" w14:textId="77777777" w:rsidR="00875BC3" w:rsidRDefault="007918C5">
            <w:r>
              <w:t>RHUD&lt;30</w:t>
            </w:r>
          </w:p>
        </w:tc>
        <w:tc>
          <w:tcPr>
            <w:tcW w:w="1500" w:type="dxa"/>
            <w:tcBorders>
              <w:bottom w:val="single" w:sz="8" w:space="0" w:color="000000"/>
              <w:right w:val="single" w:sz="8" w:space="0" w:color="000000"/>
            </w:tcBorders>
            <w:tcMar>
              <w:top w:w="100" w:type="dxa"/>
              <w:left w:w="100" w:type="dxa"/>
              <w:bottom w:w="100" w:type="dxa"/>
              <w:right w:w="100" w:type="dxa"/>
            </w:tcMar>
          </w:tcPr>
          <w:p w14:paraId="3F68A27D" w14:textId="77777777" w:rsidR="00875BC3" w:rsidRDefault="007918C5">
            <w:r>
              <w:t>35.8%</w:t>
            </w:r>
          </w:p>
        </w:tc>
        <w:tc>
          <w:tcPr>
            <w:tcW w:w="1245" w:type="dxa"/>
            <w:tcBorders>
              <w:bottom w:val="single" w:sz="8" w:space="0" w:color="000000"/>
              <w:right w:val="single" w:sz="8" w:space="0" w:color="000000"/>
            </w:tcBorders>
            <w:tcMar>
              <w:top w:w="100" w:type="dxa"/>
              <w:left w:w="100" w:type="dxa"/>
              <w:bottom w:w="100" w:type="dxa"/>
              <w:right w:w="100" w:type="dxa"/>
            </w:tcMar>
          </w:tcPr>
          <w:p w14:paraId="2C2E66DC" w14:textId="77777777" w:rsidR="00875BC3" w:rsidRDefault="007918C5">
            <w:r>
              <w:t>33.1%</w:t>
            </w:r>
          </w:p>
        </w:tc>
        <w:tc>
          <w:tcPr>
            <w:tcW w:w="1230" w:type="dxa"/>
            <w:tcBorders>
              <w:bottom w:val="single" w:sz="8" w:space="0" w:color="000000"/>
              <w:right w:val="single" w:sz="8" w:space="0" w:color="000000"/>
            </w:tcBorders>
            <w:tcMar>
              <w:top w:w="100" w:type="dxa"/>
              <w:left w:w="100" w:type="dxa"/>
              <w:bottom w:w="100" w:type="dxa"/>
              <w:right w:w="100" w:type="dxa"/>
            </w:tcMar>
          </w:tcPr>
          <w:p w14:paraId="0B2CCA69" w14:textId="77777777" w:rsidR="00875BC3" w:rsidRDefault="007918C5">
            <w:r>
              <w:t>34.4%</w:t>
            </w:r>
          </w:p>
        </w:tc>
        <w:tc>
          <w:tcPr>
            <w:tcW w:w="1275" w:type="dxa"/>
            <w:tcBorders>
              <w:bottom w:val="single" w:sz="8" w:space="0" w:color="000000"/>
              <w:right w:val="single" w:sz="8" w:space="0" w:color="000000"/>
            </w:tcBorders>
            <w:tcMar>
              <w:top w:w="100" w:type="dxa"/>
              <w:left w:w="100" w:type="dxa"/>
              <w:bottom w:w="100" w:type="dxa"/>
              <w:right w:w="100" w:type="dxa"/>
            </w:tcMar>
          </w:tcPr>
          <w:p w14:paraId="505DD25E" w14:textId="77777777" w:rsidR="00875BC3" w:rsidRDefault="007918C5">
            <w:r>
              <w:t>24.5%</w:t>
            </w:r>
          </w:p>
        </w:tc>
        <w:tc>
          <w:tcPr>
            <w:tcW w:w="1260" w:type="dxa"/>
            <w:tcBorders>
              <w:bottom w:val="single" w:sz="8" w:space="0" w:color="000000"/>
              <w:right w:val="single" w:sz="8" w:space="0" w:color="000000"/>
            </w:tcBorders>
            <w:tcMar>
              <w:top w:w="100" w:type="dxa"/>
              <w:left w:w="100" w:type="dxa"/>
              <w:bottom w:w="100" w:type="dxa"/>
              <w:right w:w="100" w:type="dxa"/>
            </w:tcMar>
          </w:tcPr>
          <w:p w14:paraId="3A5C5124" w14:textId="77777777" w:rsidR="00875BC3" w:rsidRDefault="007918C5">
            <w:r>
              <w:t>36.1%</w:t>
            </w:r>
          </w:p>
        </w:tc>
        <w:tc>
          <w:tcPr>
            <w:tcW w:w="1605" w:type="dxa"/>
            <w:tcBorders>
              <w:bottom w:val="single" w:sz="8" w:space="0" w:color="000000"/>
              <w:right w:val="single" w:sz="8" w:space="0" w:color="000000"/>
            </w:tcBorders>
            <w:tcMar>
              <w:top w:w="100" w:type="dxa"/>
              <w:left w:w="100" w:type="dxa"/>
              <w:bottom w:w="100" w:type="dxa"/>
              <w:right w:w="100" w:type="dxa"/>
            </w:tcMar>
          </w:tcPr>
          <w:p w14:paraId="02A1A8A0" w14:textId="77777777" w:rsidR="00875BC3" w:rsidRDefault="007918C5">
            <w:r>
              <w:t>42.9%</w:t>
            </w:r>
          </w:p>
        </w:tc>
      </w:tr>
      <w:tr w:rsidR="00875BC3" w14:paraId="0B9718ED" w14:textId="77777777">
        <w:tc>
          <w:tcPr>
            <w:tcW w:w="1530" w:type="dxa"/>
            <w:tcBorders>
              <w:left w:val="single" w:sz="8" w:space="0" w:color="000000"/>
              <w:bottom w:val="single" w:sz="8" w:space="0" w:color="000000"/>
              <w:right w:val="single" w:sz="8" w:space="0" w:color="000000"/>
            </w:tcBorders>
            <w:tcMar>
              <w:top w:w="20" w:type="dxa"/>
              <w:left w:w="20" w:type="dxa"/>
              <w:bottom w:w="20" w:type="dxa"/>
              <w:right w:w="20" w:type="dxa"/>
            </w:tcMar>
          </w:tcPr>
          <w:p w14:paraId="29EBD433" w14:textId="77777777" w:rsidR="00875BC3" w:rsidRDefault="007918C5">
            <w:r>
              <w:t>30&lt;RHUD&lt;50</w:t>
            </w:r>
          </w:p>
        </w:tc>
        <w:tc>
          <w:tcPr>
            <w:tcW w:w="1500" w:type="dxa"/>
            <w:tcBorders>
              <w:bottom w:val="single" w:sz="8" w:space="0" w:color="000000"/>
              <w:right w:val="single" w:sz="8" w:space="0" w:color="000000"/>
            </w:tcBorders>
            <w:tcMar>
              <w:top w:w="100" w:type="dxa"/>
              <w:left w:w="100" w:type="dxa"/>
              <w:bottom w:w="100" w:type="dxa"/>
              <w:right w:w="100" w:type="dxa"/>
            </w:tcMar>
          </w:tcPr>
          <w:p w14:paraId="57387D45" w14:textId="77777777" w:rsidR="00875BC3" w:rsidRDefault="007918C5">
            <w:r>
              <w:t>41.6%</w:t>
            </w:r>
          </w:p>
        </w:tc>
        <w:tc>
          <w:tcPr>
            <w:tcW w:w="1245" w:type="dxa"/>
            <w:tcBorders>
              <w:bottom w:val="single" w:sz="8" w:space="0" w:color="000000"/>
              <w:right w:val="single" w:sz="8" w:space="0" w:color="000000"/>
            </w:tcBorders>
            <w:tcMar>
              <w:top w:w="100" w:type="dxa"/>
              <w:left w:w="100" w:type="dxa"/>
              <w:bottom w:w="100" w:type="dxa"/>
              <w:right w:w="100" w:type="dxa"/>
            </w:tcMar>
          </w:tcPr>
          <w:p w14:paraId="2D2AAA9E" w14:textId="77777777" w:rsidR="00875BC3" w:rsidRDefault="007918C5">
            <w:r>
              <w:t>41.4%</w:t>
            </w:r>
          </w:p>
        </w:tc>
        <w:tc>
          <w:tcPr>
            <w:tcW w:w="1230" w:type="dxa"/>
            <w:tcBorders>
              <w:bottom w:val="single" w:sz="8" w:space="0" w:color="000000"/>
              <w:right w:val="single" w:sz="8" w:space="0" w:color="000000"/>
            </w:tcBorders>
            <w:tcMar>
              <w:top w:w="100" w:type="dxa"/>
              <w:left w:w="100" w:type="dxa"/>
              <w:bottom w:w="100" w:type="dxa"/>
              <w:right w:w="100" w:type="dxa"/>
            </w:tcMar>
          </w:tcPr>
          <w:p w14:paraId="58E02E1D" w14:textId="77777777" w:rsidR="00875BC3" w:rsidRDefault="007918C5">
            <w:r>
              <w:t>44.9%</w:t>
            </w:r>
          </w:p>
        </w:tc>
        <w:tc>
          <w:tcPr>
            <w:tcW w:w="1275" w:type="dxa"/>
            <w:tcBorders>
              <w:bottom w:val="single" w:sz="8" w:space="0" w:color="000000"/>
              <w:right w:val="single" w:sz="8" w:space="0" w:color="000000"/>
            </w:tcBorders>
            <w:tcMar>
              <w:top w:w="100" w:type="dxa"/>
              <w:left w:w="100" w:type="dxa"/>
              <w:bottom w:w="100" w:type="dxa"/>
              <w:right w:w="100" w:type="dxa"/>
            </w:tcMar>
          </w:tcPr>
          <w:p w14:paraId="2B55E9A6" w14:textId="77777777" w:rsidR="00875BC3" w:rsidRDefault="007918C5">
            <w:r>
              <w:t>54.2%</w:t>
            </w:r>
          </w:p>
        </w:tc>
        <w:tc>
          <w:tcPr>
            <w:tcW w:w="1260" w:type="dxa"/>
            <w:tcBorders>
              <w:bottom w:val="single" w:sz="8" w:space="0" w:color="000000"/>
              <w:right w:val="single" w:sz="8" w:space="0" w:color="000000"/>
            </w:tcBorders>
            <w:tcMar>
              <w:top w:w="100" w:type="dxa"/>
              <w:left w:w="100" w:type="dxa"/>
              <w:bottom w:w="100" w:type="dxa"/>
              <w:right w:w="100" w:type="dxa"/>
            </w:tcMar>
          </w:tcPr>
          <w:p w14:paraId="19F15A5A" w14:textId="77777777" w:rsidR="00875BC3" w:rsidRDefault="007918C5">
            <w:r>
              <w:t>40.7%</w:t>
            </w:r>
          </w:p>
        </w:tc>
        <w:tc>
          <w:tcPr>
            <w:tcW w:w="1605" w:type="dxa"/>
            <w:tcBorders>
              <w:bottom w:val="single" w:sz="8" w:space="0" w:color="000000"/>
              <w:right w:val="single" w:sz="8" w:space="0" w:color="000000"/>
            </w:tcBorders>
            <w:tcMar>
              <w:top w:w="100" w:type="dxa"/>
              <w:left w:w="100" w:type="dxa"/>
              <w:bottom w:w="100" w:type="dxa"/>
              <w:right w:w="100" w:type="dxa"/>
            </w:tcMar>
          </w:tcPr>
          <w:p w14:paraId="5B23E864" w14:textId="77777777" w:rsidR="00875BC3" w:rsidRDefault="007918C5">
            <w:r>
              <w:t>44.0%</w:t>
            </w:r>
          </w:p>
        </w:tc>
      </w:tr>
      <w:tr w:rsidR="00875BC3" w14:paraId="42152F9F" w14:textId="77777777">
        <w:tc>
          <w:tcPr>
            <w:tcW w:w="1530" w:type="dxa"/>
            <w:tcBorders>
              <w:left w:val="single" w:sz="8" w:space="0" w:color="000000"/>
              <w:bottom w:val="single" w:sz="8" w:space="0" w:color="000000"/>
              <w:right w:val="single" w:sz="8" w:space="0" w:color="000000"/>
            </w:tcBorders>
            <w:tcMar>
              <w:top w:w="20" w:type="dxa"/>
              <w:left w:w="20" w:type="dxa"/>
              <w:bottom w:w="20" w:type="dxa"/>
              <w:right w:w="20" w:type="dxa"/>
            </w:tcMar>
          </w:tcPr>
          <w:p w14:paraId="3EA3F259" w14:textId="77777777" w:rsidR="00875BC3" w:rsidRDefault="007918C5">
            <w:r>
              <w:t>50&lt;RHUD&lt;80</w:t>
            </w:r>
          </w:p>
        </w:tc>
        <w:tc>
          <w:tcPr>
            <w:tcW w:w="1500" w:type="dxa"/>
            <w:tcBorders>
              <w:bottom w:val="single" w:sz="8" w:space="0" w:color="000000"/>
              <w:right w:val="single" w:sz="8" w:space="0" w:color="000000"/>
            </w:tcBorders>
            <w:tcMar>
              <w:top w:w="100" w:type="dxa"/>
              <w:left w:w="100" w:type="dxa"/>
              <w:bottom w:w="100" w:type="dxa"/>
              <w:right w:w="100" w:type="dxa"/>
            </w:tcMar>
          </w:tcPr>
          <w:p w14:paraId="3295074A" w14:textId="77777777" w:rsidR="00875BC3" w:rsidRDefault="007918C5">
            <w:r>
              <w:t>33.0%</w:t>
            </w:r>
          </w:p>
        </w:tc>
        <w:tc>
          <w:tcPr>
            <w:tcW w:w="1245" w:type="dxa"/>
            <w:tcBorders>
              <w:bottom w:val="single" w:sz="8" w:space="0" w:color="000000"/>
              <w:right w:val="single" w:sz="8" w:space="0" w:color="000000"/>
            </w:tcBorders>
            <w:tcMar>
              <w:top w:w="100" w:type="dxa"/>
              <w:left w:w="100" w:type="dxa"/>
              <w:bottom w:w="100" w:type="dxa"/>
              <w:right w:w="100" w:type="dxa"/>
            </w:tcMar>
          </w:tcPr>
          <w:p w14:paraId="1A457C40" w14:textId="77777777" w:rsidR="00875BC3" w:rsidRDefault="007918C5">
            <w:r>
              <w:t>34.1%</w:t>
            </w:r>
          </w:p>
        </w:tc>
        <w:tc>
          <w:tcPr>
            <w:tcW w:w="1230" w:type="dxa"/>
            <w:tcBorders>
              <w:bottom w:val="single" w:sz="8" w:space="0" w:color="000000"/>
              <w:right w:val="single" w:sz="8" w:space="0" w:color="000000"/>
            </w:tcBorders>
            <w:tcMar>
              <w:top w:w="100" w:type="dxa"/>
              <w:left w:w="100" w:type="dxa"/>
              <w:bottom w:w="100" w:type="dxa"/>
              <w:right w:w="100" w:type="dxa"/>
            </w:tcMar>
          </w:tcPr>
          <w:p w14:paraId="76BC58F8" w14:textId="77777777" w:rsidR="00875BC3" w:rsidRDefault="007918C5">
            <w:r>
              <w:t>29.9%</w:t>
            </w:r>
          </w:p>
        </w:tc>
        <w:tc>
          <w:tcPr>
            <w:tcW w:w="1275" w:type="dxa"/>
            <w:tcBorders>
              <w:bottom w:val="single" w:sz="8" w:space="0" w:color="000000"/>
              <w:right w:val="single" w:sz="8" w:space="0" w:color="000000"/>
            </w:tcBorders>
            <w:tcMar>
              <w:top w:w="100" w:type="dxa"/>
              <w:left w:w="100" w:type="dxa"/>
              <w:bottom w:w="100" w:type="dxa"/>
              <w:right w:w="100" w:type="dxa"/>
            </w:tcMar>
          </w:tcPr>
          <w:p w14:paraId="32AE2B5D" w14:textId="77777777" w:rsidR="00875BC3" w:rsidRDefault="007918C5">
            <w:r>
              <w:t>38.2%</w:t>
            </w:r>
          </w:p>
        </w:tc>
        <w:tc>
          <w:tcPr>
            <w:tcW w:w="1260" w:type="dxa"/>
            <w:tcBorders>
              <w:bottom w:val="single" w:sz="8" w:space="0" w:color="000000"/>
              <w:right w:val="single" w:sz="8" w:space="0" w:color="000000"/>
            </w:tcBorders>
            <w:tcMar>
              <w:top w:w="100" w:type="dxa"/>
              <w:left w:w="100" w:type="dxa"/>
              <w:bottom w:w="100" w:type="dxa"/>
              <w:right w:w="100" w:type="dxa"/>
            </w:tcMar>
          </w:tcPr>
          <w:p w14:paraId="5EC25FA2" w14:textId="77777777" w:rsidR="00875BC3" w:rsidRDefault="007918C5">
            <w:r>
              <w:t>25.3%</w:t>
            </w:r>
          </w:p>
        </w:tc>
        <w:tc>
          <w:tcPr>
            <w:tcW w:w="1605" w:type="dxa"/>
            <w:tcBorders>
              <w:bottom w:val="single" w:sz="8" w:space="0" w:color="000000"/>
              <w:right w:val="single" w:sz="8" w:space="0" w:color="000000"/>
            </w:tcBorders>
            <w:tcMar>
              <w:top w:w="100" w:type="dxa"/>
              <w:left w:w="100" w:type="dxa"/>
              <w:bottom w:w="100" w:type="dxa"/>
              <w:right w:w="100" w:type="dxa"/>
            </w:tcMar>
          </w:tcPr>
          <w:p w14:paraId="61DBA350" w14:textId="77777777" w:rsidR="00875BC3" w:rsidRDefault="007918C5">
            <w:r>
              <w:t>28.4%</w:t>
            </w:r>
          </w:p>
        </w:tc>
      </w:tr>
    </w:tbl>
    <w:p w14:paraId="41D0AE65" w14:textId="77777777" w:rsidR="00875BC3" w:rsidRPr="008224B9" w:rsidRDefault="007918C5">
      <w:pPr>
        <w:rPr>
          <w:sz w:val="16"/>
          <w:szCs w:val="18"/>
        </w:rPr>
      </w:pPr>
      <w:r w:rsidRPr="008224B9">
        <w:rPr>
          <w:sz w:val="16"/>
          <w:szCs w:val="18"/>
        </w:rPr>
        <w:t xml:space="preserve">Source. 2008-2012 </w:t>
      </w:r>
      <w:proofErr w:type="spellStart"/>
      <w:proofErr w:type="gramStart"/>
      <w:r w:rsidRPr="008224B9">
        <w:rPr>
          <w:sz w:val="16"/>
          <w:szCs w:val="18"/>
        </w:rPr>
        <w:t>CHAS,The</w:t>
      </w:r>
      <w:proofErr w:type="spellEnd"/>
      <w:proofErr w:type="gramEnd"/>
      <w:r w:rsidRPr="008224B9">
        <w:rPr>
          <w:sz w:val="16"/>
          <w:szCs w:val="18"/>
        </w:rPr>
        <w:t xml:space="preserve"> estimates of this table indicates the percentage of housing units that are taken by higher income households.  </w:t>
      </w:r>
    </w:p>
    <w:p w14:paraId="7DBF250A" w14:textId="77777777" w:rsidR="00875BC3" w:rsidRDefault="00875BC3"/>
    <w:p w14:paraId="28FCF45C" w14:textId="77777777" w:rsidR="00875BC3" w:rsidRDefault="00875BC3"/>
    <w:p w14:paraId="0B372D7D" w14:textId="77777777" w:rsidR="00875BC3" w:rsidRDefault="00875BC3"/>
    <w:sectPr w:rsidR="00875BC3">
      <w:pgSz w:w="12240" w:h="15840"/>
      <w:pgMar w:top="1440" w:right="1080" w:bottom="1440" w:left="108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D9E9F" w14:textId="77777777" w:rsidR="00A05DDD" w:rsidRDefault="00A05DDD" w:rsidP="006C21BB">
      <w:r>
        <w:separator/>
      </w:r>
    </w:p>
  </w:endnote>
  <w:endnote w:type="continuationSeparator" w:id="0">
    <w:p w14:paraId="5FA71009" w14:textId="77777777" w:rsidR="00A05DDD" w:rsidRDefault="00A05DDD" w:rsidP="006C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3998E" w14:textId="77777777" w:rsidR="00A05DDD" w:rsidRDefault="00A05DDD" w:rsidP="006C21BB">
      <w:r>
        <w:separator/>
      </w:r>
    </w:p>
  </w:footnote>
  <w:footnote w:type="continuationSeparator" w:id="0">
    <w:p w14:paraId="24A33CF0" w14:textId="77777777" w:rsidR="00A05DDD" w:rsidRDefault="00A05DDD" w:rsidP="006C21BB">
      <w:r>
        <w:continuationSeparator/>
      </w:r>
    </w:p>
  </w:footnote>
  <w:footnote w:id="1">
    <w:p w14:paraId="119243DE" w14:textId="0DA991D5" w:rsidR="006C21BB" w:rsidRPr="009B6F33" w:rsidRDefault="006C21BB">
      <w:pPr>
        <w:pStyle w:val="FootnoteText"/>
        <w:rPr>
          <w:rFonts w:ascii="Cambria" w:hAnsi="Cambria"/>
        </w:rPr>
      </w:pPr>
      <w:r w:rsidRPr="009B6F33">
        <w:rPr>
          <w:rStyle w:val="FootnoteReference"/>
          <w:rFonts w:ascii="Cambria" w:hAnsi="Cambria"/>
        </w:rPr>
        <w:footnoteRef/>
      </w:r>
      <w:r w:rsidRPr="009B6F33">
        <w:rPr>
          <w:rFonts w:ascii="Cambria" w:hAnsi="Cambria"/>
        </w:rPr>
        <w:t xml:space="preserve"> One would be focusing new supply at 60-80% AMI to try to induce moves up the housing ladder. It's not the deepest need but it's more likely to pencil for developers with medium subsidy (like the LTE). </w:t>
      </w:r>
      <w:r w:rsidR="009B6F33">
        <w:rPr>
          <w:rFonts w:ascii="Cambria" w:hAnsi="Cambria"/>
        </w:rPr>
        <w:t xml:space="preserve"> </w:t>
      </w:r>
      <w:r w:rsidRPr="009B6F33">
        <w:rPr>
          <w:rFonts w:ascii="Cambria" w:hAnsi="Cambria"/>
        </w:rPr>
        <w:t>Another is to get to these 2</w:t>
      </w:r>
      <w:r w:rsidR="009B6F33">
        <w:rPr>
          <w:rFonts w:ascii="Cambria" w:hAnsi="Cambria"/>
        </w:rPr>
        <w:t xml:space="preserve">-star </w:t>
      </w:r>
      <w:r w:rsidRPr="009B6F33">
        <w:rPr>
          <w:rFonts w:ascii="Cambria" w:hAnsi="Cambria"/>
        </w:rPr>
        <w:t>properties and preserve with rental restrictions at 30-50% which is likely what they're actually renting at now. Prevent some from selling to new owners who might upgrade to as high as the market will bear in the neighborhood.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C3"/>
    <w:rsid w:val="006C21BB"/>
    <w:rsid w:val="007918C5"/>
    <w:rsid w:val="008224B9"/>
    <w:rsid w:val="00875BC3"/>
    <w:rsid w:val="0089762A"/>
    <w:rsid w:val="009B6F33"/>
    <w:rsid w:val="00A05DDD"/>
    <w:rsid w:val="00B62A34"/>
    <w:rsid w:val="00D1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E8DA"/>
  <w15:docId w15:val="{1FBF85AC-713B-41BD-8BAD-AE52CEA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C21BB"/>
    <w:rPr>
      <w:sz w:val="20"/>
      <w:szCs w:val="20"/>
    </w:rPr>
  </w:style>
  <w:style w:type="character" w:customStyle="1" w:styleId="FootnoteTextChar">
    <w:name w:val="Footnote Text Char"/>
    <w:basedOn w:val="DefaultParagraphFont"/>
    <w:link w:val="FootnoteText"/>
    <w:uiPriority w:val="99"/>
    <w:semiHidden/>
    <w:rsid w:val="006C21BB"/>
    <w:rPr>
      <w:sz w:val="20"/>
      <w:szCs w:val="20"/>
    </w:rPr>
  </w:style>
  <w:style w:type="character" w:styleId="FootnoteReference">
    <w:name w:val="footnote reference"/>
    <w:basedOn w:val="DefaultParagraphFont"/>
    <w:uiPriority w:val="99"/>
    <w:semiHidden/>
    <w:unhideWhenUsed/>
    <w:rsid w:val="006C2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regonmetro.gov/sites/default/files/Planning%20and%20Development%20-%20Corridor%20Plan~s%20-%20All%20Other%20Records%20-%20Powell-Division%20-%20Opportunities%20and%20constraints%20%28DRAFT%29.PDF"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474B-49AC-A34E-A364-65EB3467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Bates</dc:creator>
  <cp:lastModifiedBy>Dacanay, Radcliffe</cp:lastModifiedBy>
  <cp:revision>3</cp:revision>
  <dcterms:created xsi:type="dcterms:W3CDTF">2016-11-11T08:23:00Z</dcterms:created>
  <dcterms:modified xsi:type="dcterms:W3CDTF">2016-11-11T13:43:00Z</dcterms:modified>
</cp:coreProperties>
</file>