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1570" w:rsidRDefault="00CF1570">
      <w:r>
        <w:t>Memo: Population change methods for HIA based on gentrification and displacement typology</w:t>
      </w:r>
    </w:p>
    <w:p w:rsidR="00CF1570" w:rsidRDefault="00CF1570">
      <w:r>
        <w:tab/>
        <w:t>For Bullitt foundation grant</w:t>
      </w:r>
    </w:p>
    <w:p w:rsidR="00CF1570" w:rsidRDefault="00CF1570">
      <w:r>
        <w:t xml:space="preserve">From: </w:t>
      </w:r>
      <w:r>
        <w:tab/>
        <w:t>Lisa K. Bates, PhD; Seyoung Sung, GRA. Portland State University</w:t>
      </w:r>
    </w:p>
    <w:p w:rsidR="00CF1570" w:rsidRDefault="00CF1570">
      <w:r>
        <w:t xml:space="preserve">Date: </w:t>
      </w:r>
      <w:r>
        <w:tab/>
        <w:t>09-02-16</w:t>
      </w:r>
    </w:p>
    <w:p w:rsidR="00CF1570" w:rsidRDefault="00CF1570"/>
    <w:p w:rsidR="0057039B" w:rsidRDefault="00CF1570">
      <w:r>
        <w:t>Goal:</w:t>
      </w:r>
    </w:p>
    <w:p w:rsidR="0057039B" w:rsidRDefault="00CF1570">
      <w:r>
        <w:t>Estimate GHG changes caused by population movements associated with gentrification and displacement of low-income households/in-migration of high-income households.</w:t>
      </w:r>
    </w:p>
    <w:p w:rsidR="0057039B" w:rsidRDefault="0057039B"/>
    <w:p w:rsidR="0057039B" w:rsidRDefault="0057039B"/>
    <w:p w:rsidR="0057039B" w:rsidRDefault="00CF1570">
      <w:r>
        <w:t>Steps:</w:t>
      </w:r>
    </w:p>
    <w:p w:rsidR="0057039B" w:rsidRDefault="0057039B"/>
    <w:p w:rsidR="0057039B" w:rsidRDefault="00CF1570">
      <w:pPr>
        <w:numPr>
          <w:ilvl w:val="0"/>
          <w:numId w:val="1"/>
        </w:numPr>
        <w:ind w:hanging="360"/>
        <w:contextualSpacing/>
      </w:pPr>
      <w:r>
        <w:t xml:space="preserve">Assign each neighborhood a position in a typology of neighborhood change. </w:t>
      </w:r>
    </w:p>
    <w:p w:rsidR="0057039B" w:rsidRDefault="00CF1570">
      <w:pPr>
        <w:numPr>
          <w:ilvl w:val="0"/>
          <w:numId w:val="1"/>
        </w:numPr>
        <w:ind w:hanging="360"/>
        <w:contextualSpacing/>
      </w:pPr>
      <w:r>
        <w:t xml:space="preserve">Use regression analysis of the 2000-2015 time period to estimate probabilities of a neighborhood experiencing displacement/replacement </w:t>
      </w:r>
    </w:p>
    <w:p w:rsidR="0057039B" w:rsidRDefault="00CF1570">
      <w:pPr>
        <w:numPr>
          <w:ilvl w:val="0"/>
          <w:numId w:val="1"/>
        </w:numPr>
        <w:ind w:hanging="360"/>
        <w:contextualSpacing/>
      </w:pPr>
      <w:r>
        <w:t>Predict probabilities of neighborhood change for future time period based on 2015 conditions</w:t>
      </w:r>
    </w:p>
    <w:p w:rsidR="0057039B" w:rsidRDefault="00CF1570">
      <w:pPr>
        <w:numPr>
          <w:ilvl w:val="0"/>
          <w:numId w:val="1"/>
        </w:numPr>
        <w:ind w:hanging="360"/>
        <w:contextualSpacing/>
      </w:pPr>
      <w:r>
        <w:t xml:space="preserve">Use past period population change and predicted probabilities to estimate expected values for population migration </w:t>
      </w:r>
    </w:p>
    <w:p w:rsidR="0057039B" w:rsidRDefault="00CF1570">
      <w:pPr>
        <w:numPr>
          <w:ilvl w:val="0"/>
          <w:numId w:val="1"/>
        </w:numPr>
        <w:ind w:hanging="360"/>
        <w:contextualSpacing/>
      </w:pPr>
      <w:r>
        <w:t>[somebody else will use these to estimate GHG]</w:t>
      </w:r>
    </w:p>
    <w:p w:rsidR="0057039B" w:rsidRDefault="0057039B"/>
    <w:p w:rsidR="0057039B" w:rsidRDefault="0057039B"/>
    <w:p w:rsidR="0057039B" w:rsidRDefault="0057039B"/>
    <w:p w:rsidR="0057039B" w:rsidRDefault="00CF1570">
      <w:pPr>
        <w:numPr>
          <w:ilvl w:val="0"/>
          <w:numId w:val="2"/>
        </w:numPr>
        <w:ind w:hanging="360"/>
        <w:contextualSpacing/>
      </w:pPr>
      <w:r>
        <w:t>Assign each neighborhood a position in a typology of neighborhood change:</w:t>
      </w:r>
    </w:p>
    <w:p w:rsidR="0057039B" w:rsidRDefault="0057039B"/>
    <w:p w:rsidR="0057039B" w:rsidRDefault="00CF1570">
      <w:r>
        <w:t>The Updated Gentrification + Displacement Typology v.2016 builds upon the Typology v.2013 and subsequent work by UC Berkeley’s Urban Displacement Lab to develop a typology that:</w:t>
      </w:r>
    </w:p>
    <w:p w:rsidR="0057039B" w:rsidRDefault="00CF1570">
      <w:pPr>
        <w:numPr>
          <w:ilvl w:val="0"/>
          <w:numId w:val="3"/>
        </w:numPr>
        <w:ind w:hanging="360"/>
        <w:contextualSpacing/>
      </w:pPr>
      <w:r>
        <w:t xml:space="preserve">tracks to the v.2013 typology definitions of vulnerability and demographic changes; </w:t>
      </w:r>
    </w:p>
    <w:p w:rsidR="0057039B" w:rsidRDefault="00CF1570">
      <w:pPr>
        <w:numPr>
          <w:ilvl w:val="0"/>
          <w:numId w:val="3"/>
        </w:numPr>
        <w:ind w:hanging="360"/>
        <w:contextualSpacing/>
      </w:pPr>
      <w:r>
        <w:t>utilizes more housing and real estate data to update for changing market conditions;</w:t>
      </w:r>
    </w:p>
    <w:p w:rsidR="0057039B" w:rsidRDefault="00CF1570">
      <w:pPr>
        <w:numPr>
          <w:ilvl w:val="0"/>
          <w:numId w:val="3"/>
        </w:numPr>
        <w:ind w:hanging="360"/>
        <w:contextualSpacing/>
      </w:pPr>
      <w:r>
        <w:t>Attempts to assign a type to all tracts in the city including those that are not undergoing substantial change in their character.</w:t>
      </w:r>
    </w:p>
    <w:p w:rsidR="0057039B" w:rsidRDefault="0057039B"/>
    <w:p w:rsidR="0057039B" w:rsidRDefault="00CF1570">
      <w:r>
        <w:t xml:space="preserve">The Typology v.2016 is (like the v.2013) based on how conditions in a census tract compare to the citywide median, in an analysis of aggregate status shifts. The Typology v.2016 captures residents’ vulnerability to displacement, changes in the overall demographics of the tract, housing market changes, and the rates of in- and out-migration of households of different income levels. </w:t>
      </w:r>
    </w:p>
    <w:p w:rsidR="0057039B" w:rsidRDefault="0057039B"/>
    <w:p w:rsidR="0057039B" w:rsidRDefault="00CF1570">
      <w:r>
        <w:rPr>
          <w:i/>
        </w:rPr>
        <w:t>Simplified categorization for displacement modeling</w:t>
      </w:r>
    </w:p>
    <w:p w:rsidR="0057039B" w:rsidRDefault="00CF1570">
      <w:r>
        <w:t xml:space="preserve">This categorization looks at tract income levels and demographic change as the primary indicators for typing. </w:t>
      </w:r>
    </w:p>
    <w:p w:rsidR="0057039B" w:rsidRDefault="0057039B"/>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0"/>
        <w:gridCol w:w="1395"/>
        <w:gridCol w:w="1410"/>
        <w:gridCol w:w="1620"/>
        <w:gridCol w:w="1770"/>
        <w:gridCol w:w="1455"/>
      </w:tblGrid>
      <w:tr w:rsidR="0057039B">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39B" w:rsidRDefault="00CF1570">
            <w:r>
              <w:lastRenderedPageBreak/>
              <w:t>Type</w:t>
            </w:r>
          </w:p>
        </w:tc>
        <w:tc>
          <w:tcPr>
            <w:tcW w:w="13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039B" w:rsidRDefault="00CF1570">
            <w:r>
              <w:t>Tract Income in Year 1</w:t>
            </w:r>
          </w:p>
        </w:tc>
        <w:tc>
          <w:tcPr>
            <w:tcW w:w="1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039B" w:rsidRDefault="00CF1570">
            <w:r>
              <w:t>Tract</w:t>
            </w:r>
          </w:p>
          <w:p w:rsidR="0057039B" w:rsidRDefault="00CF1570">
            <w:r>
              <w:t>Income in Year 2</w:t>
            </w:r>
          </w:p>
        </w:tc>
        <w:tc>
          <w:tcPr>
            <w:tcW w:w="16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039B" w:rsidRDefault="00CF1570">
            <w:r>
              <w:t>Vulnerable Population in Year 1</w:t>
            </w:r>
          </w:p>
        </w:tc>
        <w:tc>
          <w:tcPr>
            <w:tcW w:w="17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039B" w:rsidRDefault="00CF1570">
            <w:r>
              <w:t>Demographic Change between Year 1 and 2</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039B" w:rsidRDefault="00CF1570">
            <w:r>
              <w:t>Vulnerable Population in Year 2</w:t>
            </w:r>
          </w:p>
        </w:tc>
      </w:tr>
      <w:tr w:rsidR="0057039B">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039B" w:rsidRDefault="00CF1570">
            <w:r>
              <w:t>A</w:t>
            </w:r>
          </w:p>
        </w:tc>
        <w:tc>
          <w:tcPr>
            <w:tcW w:w="1395" w:type="dxa"/>
            <w:tcBorders>
              <w:bottom w:val="single" w:sz="8" w:space="0" w:color="000000"/>
              <w:right w:val="single" w:sz="8" w:space="0" w:color="000000"/>
            </w:tcBorders>
            <w:tcMar>
              <w:top w:w="100" w:type="dxa"/>
              <w:left w:w="100" w:type="dxa"/>
              <w:bottom w:w="100" w:type="dxa"/>
              <w:right w:w="100" w:type="dxa"/>
            </w:tcMar>
          </w:tcPr>
          <w:p w:rsidR="0057039B" w:rsidRDefault="00CF1570">
            <w:r>
              <w:t>Low</w:t>
            </w:r>
          </w:p>
        </w:tc>
        <w:tc>
          <w:tcPr>
            <w:tcW w:w="1410" w:type="dxa"/>
            <w:tcBorders>
              <w:bottom w:val="single" w:sz="8" w:space="0" w:color="000000"/>
              <w:right w:val="single" w:sz="8" w:space="0" w:color="000000"/>
            </w:tcBorders>
            <w:tcMar>
              <w:top w:w="100" w:type="dxa"/>
              <w:left w:w="100" w:type="dxa"/>
              <w:bottom w:w="100" w:type="dxa"/>
              <w:right w:w="100" w:type="dxa"/>
            </w:tcMar>
          </w:tcPr>
          <w:p w:rsidR="0057039B" w:rsidRDefault="00CF1570">
            <w:r>
              <w:t>Low</w:t>
            </w:r>
          </w:p>
        </w:tc>
        <w:tc>
          <w:tcPr>
            <w:tcW w:w="1620" w:type="dxa"/>
            <w:tcBorders>
              <w:bottom w:val="single" w:sz="8" w:space="0" w:color="000000"/>
              <w:right w:val="single" w:sz="8" w:space="0" w:color="000000"/>
            </w:tcBorders>
            <w:tcMar>
              <w:top w:w="100" w:type="dxa"/>
              <w:left w:w="100" w:type="dxa"/>
              <w:bottom w:w="100" w:type="dxa"/>
              <w:right w:w="100" w:type="dxa"/>
            </w:tcMar>
          </w:tcPr>
          <w:p w:rsidR="0057039B" w:rsidRDefault="00CF1570">
            <w:r>
              <w:t>Yes</w:t>
            </w:r>
          </w:p>
        </w:tc>
        <w:tc>
          <w:tcPr>
            <w:tcW w:w="1770" w:type="dxa"/>
            <w:tcBorders>
              <w:bottom w:val="single" w:sz="8" w:space="0" w:color="000000"/>
              <w:right w:val="single" w:sz="8" w:space="0" w:color="000000"/>
            </w:tcBorders>
            <w:tcMar>
              <w:top w:w="100" w:type="dxa"/>
              <w:left w:w="100" w:type="dxa"/>
              <w:bottom w:w="100" w:type="dxa"/>
              <w:right w:w="100" w:type="dxa"/>
            </w:tcMar>
          </w:tcPr>
          <w:p w:rsidR="0057039B" w:rsidRDefault="00CF1570">
            <w:r>
              <w:t>No</w:t>
            </w:r>
          </w:p>
        </w:tc>
        <w:tc>
          <w:tcPr>
            <w:tcW w:w="1455" w:type="dxa"/>
            <w:tcBorders>
              <w:bottom w:val="single" w:sz="8" w:space="0" w:color="000000"/>
              <w:right w:val="single" w:sz="8" w:space="0" w:color="000000"/>
            </w:tcBorders>
            <w:tcMar>
              <w:top w:w="100" w:type="dxa"/>
              <w:left w:w="100" w:type="dxa"/>
              <w:bottom w:w="100" w:type="dxa"/>
              <w:right w:w="100" w:type="dxa"/>
            </w:tcMar>
          </w:tcPr>
          <w:p w:rsidR="0057039B" w:rsidRDefault="00CF1570">
            <w:r>
              <w:t>Yes</w:t>
            </w:r>
          </w:p>
        </w:tc>
      </w:tr>
      <w:tr w:rsidR="0057039B">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039B" w:rsidRDefault="00CF1570">
            <w:r>
              <w:t>B</w:t>
            </w:r>
          </w:p>
        </w:tc>
        <w:tc>
          <w:tcPr>
            <w:tcW w:w="1395" w:type="dxa"/>
            <w:tcBorders>
              <w:bottom w:val="single" w:sz="8" w:space="0" w:color="000000"/>
              <w:right w:val="single" w:sz="8" w:space="0" w:color="000000"/>
            </w:tcBorders>
            <w:tcMar>
              <w:top w:w="100" w:type="dxa"/>
              <w:left w:w="100" w:type="dxa"/>
              <w:bottom w:w="100" w:type="dxa"/>
              <w:right w:w="100" w:type="dxa"/>
            </w:tcMar>
          </w:tcPr>
          <w:p w:rsidR="0057039B" w:rsidRDefault="00CF1570">
            <w:r>
              <w:t>Low</w:t>
            </w:r>
          </w:p>
        </w:tc>
        <w:tc>
          <w:tcPr>
            <w:tcW w:w="1410" w:type="dxa"/>
            <w:tcBorders>
              <w:bottom w:val="single" w:sz="8" w:space="0" w:color="000000"/>
              <w:right w:val="single" w:sz="8" w:space="0" w:color="000000"/>
            </w:tcBorders>
            <w:tcMar>
              <w:top w:w="100" w:type="dxa"/>
              <w:left w:w="100" w:type="dxa"/>
              <w:bottom w:w="100" w:type="dxa"/>
              <w:right w:w="100" w:type="dxa"/>
            </w:tcMar>
          </w:tcPr>
          <w:p w:rsidR="0057039B" w:rsidRDefault="00CF1570">
            <w:r>
              <w:t>Low</w:t>
            </w:r>
          </w:p>
        </w:tc>
        <w:tc>
          <w:tcPr>
            <w:tcW w:w="1620" w:type="dxa"/>
            <w:tcBorders>
              <w:bottom w:val="single" w:sz="8" w:space="0" w:color="000000"/>
              <w:right w:val="single" w:sz="8" w:space="0" w:color="000000"/>
            </w:tcBorders>
            <w:tcMar>
              <w:top w:w="100" w:type="dxa"/>
              <w:left w:w="100" w:type="dxa"/>
              <w:bottom w:w="100" w:type="dxa"/>
              <w:right w:w="100" w:type="dxa"/>
            </w:tcMar>
          </w:tcPr>
          <w:p w:rsidR="0057039B" w:rsidRDefault="00CF1570">
            <w:r>
              <w:t>Yes</w:t>
            </w:r>
          </w:p>
        </w:tc>
        <w:tc>
          <w:tcPr>
            <w:tcW w:w="1770" w:type="dxa"/>
            <w:tcBorders>
              <w:bottom w:val="single" w:sz="8" w:space="0" w:color="000000"/>
              <w:right w:val="single" w:sz="8" w:space="0" w:color="000000"/>
            </w:tcBorders>
            <w:tcMar>
              <w:top w:w="100" w:type="dxa"/>
              <w:left w:w="100" w:type="dxa"/>
              <w:bottom w:w="100" w:type="dxa"/>
              <w:right w:w="100" w:type="dxa"/>
            </w:tcMar>
          </w:tcPr>
          <w:p w:rsidR="0057039B" w:rsidRDefault="00CF1570">
            <w:r>
              <w:t>Yes</w:t>
            </w:r>
          </w:p>
        </w:tc>
        <w:tc>
          <w:tcPr>
            <w:tcW w:w="1455" w:type="dxa"/>
            <w:tcBorders>
              <w:bottom w:val="single" w:sz="8" w:space="0" w:color="000000"/>
              <w:right w:val="single" w:sz="8" w:space="0" w:color="000000"/>
            </w:tcBorders>
            <w:tcMar>
              <w:top w:w="100" w:type="dxa"/>
              <w:left w:w="100" w:type="dxa"/>
              <w:bottom w:w="100" w:type="dxa"/>
              <w:right w:w="100" w:type="dxa"/>
            </w:tcMar>
          </w:tcPr>
          <w:p w:rsidR="0057039B" w:rsidRDefault="00CF1570">
            <w:r>
              <w:t>Yes</w:t>
            </w:r>
          </w:p>
        </w:tc>
      </w:tr>
      <w:tr w:rsidR="0057039B">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039B" w:rsidRDefault="00CF1570">
            <w:r>
              <w:t>C</w:t>
            </w:r>
          </w:p>
        </w:tc>
        <w:tc>
          <w:tcPr>
            <w:tcW w:w="1395" w:type="dxa"/>
            <w:tcBorders>
              <w:bottom w:val="single" w:sz="8" w:space="0" w:color="000000"/>
              <w:right w:val="single" w:sz="8" w:space="0" w:color="000000"/>
            </w:tcBorders>
            <w:tcMar>
              <w:top w:w="100" w:type="dxa"/>
              <w:left w:w="100" w:type="dxa"/>
              <w:bottom w:w="100" w:type="dxa"/>
              <w:right w:w="100" w:type="dxa"/>
            </w:tcMar>
          </w:tcPr>
          <w:p w:rsidR="0057039B" w:rsidRDefault="00CF1570">
            <w:r>
              <w:t>Low</w:t>
            </w:r>
          </w:p>
        </w:tc>
        <w:tc>
          <w:tcPr>
            <w:tcW w:w="1410" w:type="dxa"/>
            <w:tcBorders>
              <w:bottom w:val="single" w:sz="8" w:space="0" w:color="000000"/>
              <w:right w:val="single" w:sz="8" w:space="0" w:color="000000"/>
            </w:tcBorders>
            <w:tcMar>
              <w:top w:w="100" w:type="dxa"/>
              <w:left w:w="100" w:type="dxa"/>
              <w:bottom w:w="100" w:type="dxa"/>
              <w:right w:w="100" w:type="dxa"/>
            </w:tcMar>
          </w:tcPr>
          <w:p w:rsidR="0057039B" w:rsidRDefault="00CF1570">
            <w:r>
              <w:t>-</w:t>
            </w:r>
          </w:p>
        </w:tc>
        <w:tc>
          <w:tcPr>
            <w:tcW w:w="1620" w:type="dxa"/>
            <w:tcBorders>
              <w:bottom w:val="single" w:sz="8" w:space="0" w:color="000000"/>
              <w:right w:val="single" w:sz="8" w:space="0" w:color="000000"/>
            </w:tcBorders>
            <w:tcMar>
              <w:top w:w="100" w:type="dxa"/>
              <w:left w:w="100" w:type="dxa"/>
              <w:bottom w:w="100" w:type="dxa"/>
              <w:right w:w="100" w:type="dxa"/>
            </w:tcMar>
          </w:tcPr>
          <w:p w:rsidR="0057039B" w:rsidRDefault="00CF1570">
            <w:r>
              <w:t>Yes</w:t>
            </w:r>
          </w:p>
        </w:tc>
        <w:tc>
          <w:tcPr>
            <w:tcW w:w="1770" w:type="dxa"/>
            <w:tcBorders>
              <w:bottom w:val="single" w:sz="8" w:space="0" w:color="000000"/>
              <w:right w:val="single" w:sz="8" w:space="0" w:color="000000"/>
            </w:tcBorders>
            <w:tcMar>
              <w:top w:w="100" w:type="dxa"/>
              <w:left w:w="100" w:type="dxa"/>
              <w:bottom w:w="100" w:type="dxa"/>
              <w:right w:w="100" w:type="dxa"/>
            </w:tcMar>
          </w:tcPr>
          <w:p w:rsidR="0057039B" w:rsidRDefault="00CF1570">
            <w:r>
              <w:t>Yes</w:t>
            </w:r>
          </w:p>
        </w:tc>
        <w:tc>
          <w:tcPr>
            <w:tcW w:w="1455" w:type="dxa"/>
            <w:tcBorders>
              <w:bottom w:val="single" w:sz="8" w:space="0" w:color="000000"/>
              <w:right w:val="single" w:sz="8" w:space="0" w:color="000000"/>
            </w:tcBorders>
            <w:tcMar>
              <w:top w:w="100" w:type="dxa"/>
              <w:left w:w="100" w:type="dxa"/>
              <w:bottom w:w="100" w:type="dxa"/>
              <w:right w:w="100" w:type="dxa"/>
            </w:tcMar>
          </w:tcPr>
          <w:p w:rsidR="0057039B" w:rsidRDefault="00CF1570">
            <w:r>
              <w:t xml:space="preserve"> </w:t>
            </w:r>
          </w:p>
        </w:tc>
      </w:tr>
      <w:tr w:rsidR="0057039B">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039B" w:rsidRDefault="00CF1570">
            <w:r>
              <w:t>D</w:t>
            </w:r>
          </w:p>
        </w:tc>
        <w:tc>
          <w:tcPr>
            <w:tcW w:w="1395" w:type="dxa"/>
            <w:tcBorders>
              <w:bottom w:val="single" w:sz="8" w:space="0" w:color="000000"/>
              <w:right w:val="single" w:sz="8" w:space="0" w:color="000000"/>
            </w:tcBorders>
            <w:tcMar>
              <w:top w:w="100" w:type="dxa"/>
              <w:left w:w="100" w:type="dxa"/>
              <w:bottom w:w="100" w:type="dxa"/>
              <w:right w:w="100" w:type="dxa"/>
            </w:tcMar>
          </w:tcPr>
          <w:p w:rsidR="0057039B" w:rsidRDefault="00CF1570">
            <w:r>
              <w:t>-</w:t>
            </w:r>
          </w:p>
        </w:tc>
        <w:tc>
          <w:tcPr>
            <w:tcW w:w="1410" w:type="dxa"/>
            <w:tcBorders>
              <w:bottom w:val="single" w:sz="8" w:space="0" w:color="000000"/>
              <w:right w:val="single" w:sz="8" w:space="0" w:color="000000"/>
            </w:tcBorders>
            <w:tcMar>
              <w:top w:w="100" w:type="dxa"/>
              <w:left w:w="100" w:type="dxa"/>
              <w:bottom w:w="100" w:type="dxa"/>
              <w:right w:w="100" w:type="dxa"/>
            </w:tcMar>
          </w:tcPr>
          <w:p w:rsidR="0057039B" w:rsidRDefault="00CF1570">
            <w:r>
              <w:t>MH</w:t>
            </w:r>
          </w:p>
        </w:tc>
        <w:tc>
          <w:tcPr>
            <w:tcW w:w="1620" w:type="dxa"/>
            <w:tcBorders>
              <w:bottom w:val="single" w:sz="8" w:space="0" w:color="000000"/>
              <w:right w:val="single" w:sz="8" w:space="0" w:color="000000"/>
            </w:tcBorders>
            <w:tcMar>
              <w:top w:w="100" w:type="dxa"/>
              <w:left w:w="100" w:type="dxa"/>
              <w:bottom w:w="100" w:type="dxa"/>
              <w:right w:w="100" w:type="dxa"/>
            </w:tcMar>
          </w:tcPr>
          <w:p w:rsidR="0057039B" w:rsidRDefault="00CF1570">
            <w: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57039B" w:rsidRDefault="00CF1570">
            <w:r>
              <w:t>Yes</w:t>
            </w:r>
          </w:p>
          <w:p w:rsidR="0057039B" w:rsidRDefault="00CF1570">
            <w:r>
              <w:t>(Either 2000-2010 or 2010-2015)</w:t>
            </w:r>
          </w:p>
        </w:tc>
        <w:tc>
          <w:tcPr>
            <w:tcW w:w="1455" w:type="dxa"/>
            <w:tcBorders>
              <w:bottom w:val="single" w:sz="8" w:space="0" w:color="000000"/>
              <w:right w:val="single" w:sz="8" w:space="0" w:color="000000"/>
            </w:tcBorders>
            <w:tcMar>
              <w:top w:w="100" w:type="dxa"/>
              <w:left w:w="100" w:type="dxa"/>
              <w:bottom w:w="100" w:type="dxa"/>
              <w:right w:w="100" w:type="dxa"/>
            </w:tcMar>
          </w:tcPr>
          <w:p w:rsidR="0057039B" w:rsidRDefault="00CF1570">
            <w:r>
              <w:t xml:space="preserve"> </w:t>
            </w:r>
          </w:p>
        </w:tc>
      </w:tr>
      <w:tr w:rsidR="0057039B">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039B" w:rsidRDefault="00CF1570">
            <w:r>
              <w:t>E</w:t>
            </w:r>
          </w:p>
        </w:tc>
        <w:tc>
          <w:tcPr>
            <w:tcW w:w="1395" w:type="dxa"/>
            <w:tcBorders>
              <w:bottom w:val="single" w:sz="8" w:space="0" w:color="000000"/>
              <w:right w:val="single" w:sz="8" w:space="0" w:color="000000"/>
            </w:tcBorders>
            <w:tcMar>
              <w:top w:w="100" w:type="dxa"/>
              <w:left w:w="100" w:type="dxa"/>
              <w:bottom w:w="100" w:type="dxa"/>
              <w:right w:w="100" w:type="dxa"/>
            </w:tcMar>
          </w:tcPr>
          <w:p w:rsidR="0057039B" w:rsidRDefault="00CF1570">
            <w:r>
              <w:t>MH</w:t>
            </w:r>
          </w:p>
        </w:tc>
        <w:tc>
          <w:tcPr>
            <w:tcW w:w="1410" w:type="dxa"/>
            <w:tcBorders>
              <w:bottom w:val="single" w:sz="8" w:space="0" w:color="000000"/>
              <w:right w:val="single" w:sz="8" w:space="0" w:color="000000"/>
            </w:tcBorders>
            <w:tcMar>
              <w:top w:w="100" w:type="dxa"/>
              <w:left w:w="100" w:type="dxa"/>
              <w:bottom w:w="100" w:type="dxa"/>
              <w:right w:w="100" w:type="dxa"/>
            </w:tcMar>
          </w:tcPr>
          <w:p w:rsidR="0057039B" w:rsidRDefault="00CF1570">
            <w:r>
              <w:t>MH</w:t>
            </w:r>
          </w:p>
        </w:tc>
        <w:tc>
          <w:tcPr>
            <w:tcW w:w="1620" w:type="dxa"/>
            <w:tcBorders>
              <w:bottom w:val="single" w:sz="8" w:space="0" w:color="000000"/>
              <w:right w:val="single" w:sz="8" w:space="0" w:color="000000"/>
            </w:tcBorders>
            <w:tcMar>
              <w:top w:w="100" w:type="dxa"/>
              <w:left w:w="100" w:type="dxa"/>
              <w:bottom w:w="100" w:type="dxa"/>
              <w:right w:w="100" w:type="dxa"/>
            </w:tcMar>
          </w:tcPr>
          <w:p w:rsidR="0057039B" w:rsidRDefault="00CF1570">
            <w: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57039B" w:rsidRDefault="00CF1570">
            <w: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57039B" w:rsidRDefault="00CF1570">
            <w:r>
              <w:t xml:space="preserve"> No</w:t>
            </w:r>
          </w:p>
        </w:tc>
      </w:tr>
      <w:tr w:rsidR="0057039B">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039B" w:rsidRDefault="00CF1570">
            <w:r>
              <w:t>F</w:t>
            </w:r>
          </w:p>
        </w:tc>
        <w:tc>
          <w:tcPr>
            <w:tcW w:w="1395" w:type="dxa"/>
            <w:tcBorders>
              <w:bottom w:val="single" w:sz="8" w:space="0" w:color="000000"/>
              <w:right w:val="single" w:sz="8" w:space="0" w:color="000000"/>
            </w:tcBorders>
            <w:tcMar>
              <w:top w:w="100" w:type="dxa"/>
              <w:left w:w="100" w:type="dxa"/>
              <w:bottom w:w="100" w:type="dxa"/>
              <w:right w:w="100" w:type="dxa"/>
            </w:tcMar>
          </w:tcPr>
          <w:p w:rsidR="0057039B" w:rsidRDefault="00CF1570">
            <w:r>
              <w:t>MH</w:t>
            </w:r>
          </w:p>
        </w:tc>
        <w:tc>
          <w:tcPr>
            <w:tcW w:w="1410" w:type="dxa"/>
            <w:tcBorders>
              <w:bottom w:val="single" w:sz="8" w:space="0" w:color="000000"/>
              <w:right w:val="single" w:sz="8" w:space="0" w:color="000000"/>
            </w:tcBorders>
            <w:tcMar>
              <w:top w:w="100" w:type="dxa"/>
              <w:left w:w="100" w:type="dxa"/>
              <w:bottom w:w="100" w:type="dxa"/>
              <w:right w:w="100" w:type="dxa"/>
            </w:tcMar>
          </w:tcPr>
          <w:p w:rsidR="0057039B" w:rsidRDefault="00CF1570">
            <w:r>
              <w:t>MH</w:t>
            </w:r>
          </w:p>
        </w:tc>
        <w:tc>
          <w:tcPr>
            <w:tcW w:w="1620" w:type="dxa"/>
            <w:tcBorders>
              <w:bottom w:val="single" w:sz="8" w:space="0" w:color="000000"/>
              <w:right w:val="single" w:sz="8" w:space="0" w:color="000000"/>
            </w:tcBorders>
            <w:tcMar>
              <w:top w:w="100" w:type="dxa"/>
              <w:left w:w="100" w:type="dxa"/>
              <w:bottom w:w="100" w:type="dxa"/>
              <w:right w:w="100" w:type="dxa"/>
            </w:tcMar>
          </w:tcPr>
          <w:p w:rsidR="0057039B" w:rsidRDefault="00CF1570">
            <w:r>
              <w:t>No</w:t>
            </w:r>
          </w:p>
        </w:tc>
        <w:tc>
          <w:tcPr>
            <w:tcW w:w="1770" w:type="dxa"/>
            <w:tcBorders>
              <w:bottom w:val="single" w:sz="8" w:space="0" w:color="000000"/>
              <w:right w:val="single" w:sz="8" w:space="0" w:color="000000"/>
            </w:tcBorders>
            <w:tcMar>
              <w:top w:w="100" w:type="dxa"/>
              <w:left w:w="100" w:type="dxa"/>
              <w:bottom w:w="100" w:type="dxa"/>
              <w:right w:w="100" w:type="dxa"/>
            </w:tcMar>
          </w:tcPr>
          <w:p w:rsidR="0057039B" w:rsidRDefault="00CF1570">
            <w: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57039B" w:rsidRDefault="00CF1570">
            <w:r>
              <w:t>No</w:t>
            </w:r>
          </w:p>
        </w:tc>
      </w:tr>
    </w:tbl>
    <w:p w:rsidR="0057039B" w:rsidRDefault="0057039B"/>
    <w:p w:rsidR="0057039B" w:rsidRDefault="00CF1570">
      <w:r>
        <w:t>Type A</w:t>
      </w:r>
    </w:p>
    <w:p w:rsidR="0057039B" w:rsidRDefault="00CF1570">
      <w:r>
        <w:t>Persistently low-income areas with vulnerable populations.</w:t>
      </w:r>
    </w:p>
    <w:p w:rsidR="0057039B" w:rsidRDefault="0057039B"/>
    <w:p w:rsidR="0057039B" w:rsidRDefault="00CF1570">
      <w:r>
        <w:t>Type B</w:t>
      </w:r>
    </w:p>
    <w:p w:rsidR="0057039B" w:rsidRDefault="00CF1570">
      <w:r>
        <w:t>At risk of gentrification due to demographic changes, but remains low income with vulnerable populations.</w:t>
      </w:r>
    </w:p>
    <w:p w:rsidR="0057039B" w:rsidRDefault="0057039B"/>
    <w:p w:rsidR="0057039B" w:rsidRDefault="00CF1570">
      <w:r>
        <w:t xml:space="preserve">Type C </w:t>
      </w:r>
    </w:p>
    <w:p w:rsidR="0057039B" w:rsidRDefault="00CF1570">
      <w:r>
        <w:t xml:space="preserve">Includes multiple dimensions of gentrification and displacement. Starting incomes are low and demographic change is significant. </w:t>
      </w:r>
    </w:p>
    <w:p w:rsidR="0057039B" w:rsidRDefault="0057039B"/>
    <w:p w:rsidR="0057039B" w:rsidRDefault="00CF1570">
      <w:r>
        <w:t>Type D-E-F</w:t>
      </w:r>
    </w:p>
    <w:p w:rsidR="0057039B" w:rsidRDefault="00CF1570">
      <w:r>
        <w:t xml:space="preserve">Maintains the moderate-high income level during the time period, with limited or no vulnerable populations. Type D continues to have demographic change with respect to vulnerable populations; types E and F do not have significant vulnerable groups present. </w:t>
      </w:r>
    </w:p>
    <w:p w:rsidR="0057039B" w:rsidRDefault="0057039B"/>
    <w:p w:rsidR="0057039B" w:rsidRDefault="0057039B">
      <w:pPr>
        <w:ind w:left="720"/>
      </w:pPr>
    </w:p>
    <w:p w:rsidR="0057039B" w:rsidRDefault="0057039B">
      <w:pPr>
        <w:ind w:left="720"/>
      </w:pPr>
    </w:p>
    <w:p w:rsidR="0057039B" w:rsidRDefault="0057039B">
      <w:pPr>
        <w:ind w:left="720"/>
      </w:pPr>
    </w:p>
    <w:p w:rsidR="0057039B" w:rsidRDefault="00CF1570">
      <w:r>
        <w:t xml:space="preserve">2. Use regression analysis of the 2000-2015 time period to estimate probabilities of a neighborhood experiencing displacement/replacement </w:t>
      </w:r>
    </w:p>
    <w:p w:rsidR="0057039B" w:rsidRDefault="0057039B"/>
    <w:p w:rsidR="0057039B" w:rsidRDefault="00CF1570">
      <w:r>
        <w:t xml:space="preserve">The regression analysis is designed to be parsimonious to the predictors of a change in neighborhood status and to align with the interests of this project, which is to consider how </w:t>
      </w:r>
      <w:r>
        <w:lastRenderedPageBreak/>
        <w:t>transit investments affect household moves due to neighborhood market changes (and ultimately how those moves affect GHG emission).</w:t>
      </w:r>
    </w:p>
    <w:p w:rsidR="0057039B" w:rsidRDefault="0057039B"/>
    <w:p w:rsidR="0057039B" w:rsidRDefault="00CF1570">
      <w:r>
        <w:t xml:space="preserve">We tested several models for predicting the probability of displacement, using different dependent variables, using a logit link function suitable for dichotomous dependent variables. </w:t>
      </w:r>
    </w:p>
    <w:p w:rsidR="0057039B" w:rsidRDefault="0057039B"/>
    <w:p w:rsidR="0057039B" w:rsidRDefault="00CF1570">
      <w:r>
        <w:t xml:space="preserve">Predictor variables are: </w:t>
      </w:r>
    </w:p>
    <w:p w:rsidR="0057039B" w:rsidRDefault="00CF1570">
      <w:pPr>
        <w:numPr>
          <w:ilvl w:val="0"/>
          <w:numId w:val="4"/>
        </w:numPr>
        <w:ind w:hanging="360"/>
        <w:contextualSpacing/>
      </w:pPr>
      <w:r>
        <w:t>The 2010 typology category. This is expected to soak up most of the variance in the model, as the initial type should be the most direct predictor of the 2015 type.</w:t>
      </w:r>
    </w:p>
    <w:p w:rsidR="0057039B" w:rsidRDefault="00CF1570">
      <w:pPr>
        <w:numPr>
          <w:ilvl w:val="0"/>
          <w:numId w:val="4"/>
        </w:numPr>
        <w:ind w:hanging="360"/>
        <w:contextualSpacing/>
      </w:pPr>
      <w:r>
        <w:t>Transit stations. As this model is related to new transit investments, directly analyzing the impacts of being in a transit station area/ new TOD on gentrification and displacement is useful.</w:t>
      </w:r>
    </w:p>
    <w:p w:rsidR="0057039B" w:rsidRDefault="00CF1570">
      <w:pPr>
        <w:numPr>
          <w:ilvl w:val="0"/>
          <w:numId w:val="4"/>
        </w:numPr>
        <w:ind w:hanging="360"/>
        <w:contextualSpacing/>
      </w:pPr>
      <w:r>
        <w:t xml:space="preserve">New market units &gt; median. New housing units may reduce displacement as in-migrants can utilize this supply rather than displacing existing residents </w:t>
      </w:r>
      <w:proofErr w:type="spellStart"/>
      <w:r>
        <w:t>through out</w:t>
      </w:r>
      <w:proofErr w:type="spellEnd"/>
      <w:r>
        <w:t>-bidding on housing.</w:t>
      </w:r>
    </w:p>
    <w:p w:rsidR="0057039B" w:rsidRDefault="00CF1570">
      <w:pPr>
        <w:numPr>
          <w:ilvl w:val="0"/>
          <w:numId w:val="4"/>
        </w:numPr>
        <w:ind w:hanging="360"/>
        <w:contextualSpacing/>
      </w:pPr>
      <w:r>
        <w:t>New subsidized units = yes. New subsidized units are not frequently brought online, but with income restrictions on occupancy they will reduce displacement. It is helpful to understand what the impact of income restricted housing is separately from market rate housing.</w:t>
      </w:r>
    </w:p>
    <w:p w:rsidR="0057039B" w:rsidRDefault="00CF1570">
      <w:pPr>
        <w:numPr>
          <w:ilvl w:val="0"/>
          <w:numId w:val="4"/>
        </w:numPr>
        <w:ind w:hanging="360"/>
        <w:contextualSpacing/>
      </w:pPr>
      <w:r>
        <w:t>Price appreciation &gt; median</w:t>
      </w:r>
    </w:p>
    <w:p w:rsidR="0057039B" w:rsidRDefault="00CF1570">
      <w:pPr>
        <w:numPr>
          <w:ilvl w:val="0"/>
          <w:numId w:val="4"/>
        </w:numPr>
        <w:ind w:hanging="360"/>
        <w:contextualSpacing/>
      </w:pPr>
      <w:r>
        <w:t>Rent appreciation &gt; median</w:t>
      </w:r>
    </w:p>
    <w:p w:rsidR="0057039B" w:rsidRDefault="0057039B"/>
    <w:p w:rsidR="0057039B" w:rsidRDefault="00CF1570">
      <w:r>
        <w:t xml:space="preserve">The final model is based on a prediction of the loss of low-income households in the tract. </w:t>
      </w:r>
    </w:p>
    <w:p w:rsidR="0057039B" w:rsidRDefault="0057039B"/>
    <w:p w:rsidR="0057039B" w:rsidRDefault="00CF1570">
      <w:r>
        <w:t>Logit models result in coefficients that are interpreted as “odds ratios” --these can be somewhat confusing to interpret but should be understood as the increased/decreased likelihood of an event, given a predictor condition. In this case we are predicting the odds or likelihood of the loss of low-income households in a tract. The likelihood of loss of low-income households given the typology status is understood as the likelihood compared to a tract in type D-E-F (a higher income tract).</w:t>
      </w:r>
    </w:p>
    <w:p w:rsidR="0057039B" w:rsidRDefault="0057039B"/>
    <w:p w:rsidR="0057039B" w:rsidRDefault="00CF1570">
      <w:r>
        <w:t>Model results in words:</w:t>
      </w:r>
    </w:p>
    <w:p w:rsidR="0057039B" w:rsidRDefault="00CF1570">
      <w:pPr>
        <w:numPr>
          <w:ilvl w:val="0"/>
          <w:numId w:val="5"/>
        </w:numPr>
        <w:ind w:hanging="360"/>
        <w:contextualSpacing/>
      </w:pPr>
      <w:r>
        <w:t xml:space="preserve">Tracts in Type A, B, C are more likely to have loss of low-income households than high-income tracts. </w:t>
      </w:r>
    </w:p>
    <w:p w:rsidR="0057039B" w:rsidRDefault="00CF1570">
      <w:pPr>
        <w:numPr>
          <w:ilvl w:val="0"/>
          <w:numId w:val="5"/>
        </w:numPr>
        <w:ind w:hanging="360"/>
        <w:contextualSpacing/>
      </w:pPr>
      <w:r>
        <w:t>Tracts with a light rail transit station are slightly less likely to have loss of low-income households.(10% less likely)</w:t>
      </w:r>
    </w:p>
    <w:p w:rsidR="0057039B" w:rsidRDefault="00CF1570">
      <w:pPr>
        <w:numPr>
          <w:ilvl w:val="0"/>
          <w:numId w:val="5"/>
        </w:numPr>
        <w:ind w:hanging="360"/>
        <w:contextualSpacing/>
      </w:pPr>
      <w:r>
        <w:t>Tracts with substantial new market rate construction are 15% less likely to have loss of low-income households.</w:t>
      </w:r>
    </w:p>
    <w:p w:rsidR="0057039B" w:rsidRDefault="00CF1570">
      <w:pPr>
        <w:numPr>
          <w:ilvl w:val="0"/>
          <w:numId w:val="5"/>
        </w:numPr>
        <w:ind w:hanging="360"/>
        <w:contextualSpacing/>
      </w:pPr>
      <w:r>
        <w:t>Tracts with new subsidized units are much less likely to have loss of low-income households.</w:t>
      </w:r>
    </w:p>
    <w:p w:rsidR="0057039B" w:rsidRDefault="00CF1570">
      <w:pPr>
        <w:numPr>
          <w:ilvl w:val="0"/>
          <w:numId w:val="5"/>
        </w:numPr>
        <w:ind w:hanging="360"/>
        <w:contextualSpacing/>
      </w:pPr>
      <w:r>
        <w:t>Tracts where housing prices are appreciating greater than average are twice as likely to have loss of low-income households.</w:t>
      </w:r>
    </w:p>
    <w:p w:rsidR="0057039B" w:rsidRDefault="00CF1570">
      <w:pPr>
        <w:numPr>
          <w:ilvl w:val="0"/>
          <w:numId w:val="5"/>
        </w:numPr>
        <w:ind w:hanging="360"/>
        <w:contextualSpacing/>
      </w:pPr>
      <w:r>
        <w:t>Tracts where rents are being raised greater than average are slightly less likely to have loss of low-income households.</w:t>
      </w:r>
    </w:p>
    <w:p w:rsidR="0057039B" w:rsidRDefault="0057039B"/>
    <w:p w:rsidR="0057039B" w:rsidRDefault="00CF1570">
      <w:r>
        <w:t>Potentially counter-intuitive results around displacement of low-income households from low-income tracts and areas with increasing rents are probably understood by considering the low-cost housing market. One, households are leaving the City of Portland for cheaper housing elsewhere, even from predominantly low income tracts--they are leaving the analysis space altogether. This combines with a second factor. Second, rents at both the high and low end of the market are increasing substantially right now. Households with low incomes will increase their cost burden for housing to maintain rental housing even when rents go up and become unaffordable, as we can see in the very high rates of cost burden for low income renters.</w:t>
      </w:r>
    </w:p>
    <w:p w:rsidR="0057039B" w:rsidRDefault="0057039B">
      <w:pPr>
        <w:ind w:firstLine="720"/>
      </w:pPr>
    </w:p>
    <w:p w:rsidR="0057039B" w:rsidRDefault="0057039B">
      <w:pPr>
        <w:ind w:firstLine="720"/>
      </w:pPr>
    </w:p>
    <w:p w:rsidR="0057039B" w:rsidRDefault="00CF1570">
      <w:r>
        <w:t>3. Predict probabilities of neighborhood change for future time period based on 2015 conditions</w:t>
      </w:r>
    </w:p>
    <w:p w:rsidR="0057039B" w:rsidRDefault="0057039B"/>
    <w:p w:rsidR="0057039B" w:rsidRDefault="00CF1570">
      <w:r>
        <w:t xml:space="preserve">The logit model results in beta coefficients that are interpreted as odds-ratios, which can be challenging to understand as predictors. Therefore we use the coefficients to calculate predicted probabilities for each tract. </w:t>
      </w:r>
    </w:p>
    <w:p w:rsidR="0057039B" w:rsidRDefault="0057039B"/>
    <w:p w:rsidR="0057039B" w:rsidRDefault="00CF1570">
      <w:r>
        <w:t xml:space="preserve">Predicted probability </w:t>
      </w:r>
      <w:proofErr w:type="gramStart"/>
      <w:r>
        <w:t>=  e</w:t>
      </w:r>
      <w:proofErr w:type="gramEnd"/>
      <w:r>
        <w:t>^(b0+b1x1+b2x2…+</w:t>
      </w:r>
      <w:proofErr w:type="spellStart"/>
      <w:r>
        <w:t>bnxn</w:t>
      </w:r>
      <w:proofErr w:type="spellEnd"/>
      <w:r>
        <w:t>) / 1 + [e^(b0+b1x1+b2x2…+</w:t>
      </w:r>
      <w:proofErr w:type="spellStart"/>
      <w:r>
        <w:t>bnxn</w:t>
      </w:r>
      <w:proofErr w:type="spellEnd"/>
      <w:r>
        <w:t>)]</w:t>
      </w:r>
    </w:p>
    <w:p w:rsidR="0057039B" w:rsidRDefault="0057039B"/>
    <w:p w:rsidR="0057039B" w:rsidRDefault="00CF1570">
      <w:r>
        <w:t xml:space="preserve">We use the model to PROJECT a predicted probability for change in the coming time period, based on change in the </w:t>
      </w:r>
      <w:proofErr w:type="spellStart"/>
      <w:r>
        <w:t>previou</w:t>
      </w:r>
      <w:proofErr w:type="spellEnd"/>
      <w:r>
        <w:t xml:space="preserve"> time period. Each tract has a projected predicted probability for losing low-income households that is based on the 2015 typology category.</w:t>
      </w:r>
    </w:p>
    <w:p w:rsidR="0057039B" w:rsidRDefault="0057039B"/>
    <w:p w:rsidR="0057039B" w:rsidRDefault="00CF1570">
      <w:r>
        <w:t xml:space="preserve">We have also provided a projected predicted probability for each tract </w:t>
      </w:r>
      <w:r>
        <w:rPr>
          <w:i/>
        </w:rPr>
        <w:t xml:space="preserve">if it were to have a light rail station </w:t>
      </w:r>
      <w:r>
        <w:t xml:space="preserve">by estimating the probability based on transit=1. </w:t>
      </w:r>
    </w:p>
    <w:p w:rsidR="0057039B" w:rsidRDefault="0057039B"/>
    <w:p w:rsidR="0057039B" w:rsidRDefault="0057039B"/>
    <w:p w:rsidR="0057039B" w:rsidRDefault="00CF1570">
      <w:r>
        <w:t xml:space="preserve">4. Use past period population change and predicted probabilities to estimate expected values for population migration </w:t>
      </w:r>
    </w:p>
    <w:p w:rsidR="0057039B" w:rsidRDefault="0057039B"/>
    <w:p w:rsidR="0057039B" w:rsidRDefault="00CF1570">
      <w:r>
        <w:t>We find the expected value of population change for each tract as the product of the projected probability of population change for each tract  with  the characteristics of population change for tracts *of that type* for 2010-2015.</w:t>
      </w:r>
    </w:p>
    <w:p w:rsidR="0057039B" w:rsidRDefault="0057039B"/>
    <w:p w:rsidR="0057039B" w:rsidRDefault="00CF1570">
      <w:r>
        <w:t>The average population change for 2010-2015 by household size, income, and age (the HIA) is calculated by typology category (ABCDEF). That same change happens going forward, with the probability estimated by the model, is the expected value of change.</w:t>
      </w:r>
    </w:p>
    <w:p w:rsidR="0057039B" w:rsidRDefault="0057039B"/>
    <w:p w:rsidR="0057039B" w:rsidRDefault="00CF1570">
      <w:r>
        <w:t xml:space="preserve">We assign this proportionally to TAZ based on centroid location within a tract. </w:t>
      </w:r>
    </w:p>
    <w:p w:rsidR="0057039B" w:rsidRDefault="0057039B"/>
    <w:p w:rsidR="00A4131D" w:rsidRDefault="00A4131D"/>
    <w:p w:rsidR="00C531C7" w:rsidRDefault="00C531C7"/>
    <w:p w:rsidR="00C531C7" w:rsidRDefault="00C531C7"/>
    <w:p w:rsidR="00C531C7" w:rsidRDefault="00C531C7"/>
    <w:p w:rsidR="00A4131D" w:rsidRDefault="00A4131D">
      <w:r>
        <w:lastRenderedPageBreak/>
        <w:t xml:space="preserve">5. Creation of new HIA categories  </w:t>
      </w:r>
    </w:p>
    <w:p w:rsidR="00A4131D" w:rsidRDefault="00A4131D"/>
    <w:p w:rsidR="0057039B" w:rsidRDefault="00CF1570">
      <w:r>
        <w:t>Expected value of projected population change is available for ONLY SOME of the HIA categories. The HIA has 64 categories of household size, income, and age. However, the data we are using to understand low income housing and household matching has different categories for household size, income, and age. The reconciliation of categories results in 14 distinct household types that align with the HIA.</w:t>
      </w:r>
    </w:p>
    <w:p w:rsidR="00444845" w:rsidRDefault="00444845"/>
    <w:p w:rsidR="0057039B" w:rsidRDefault="00CF1570">
      <w:pPr>
        <w:numPr>
          <w:ilvl w:val="0"/>
          <w:numId w:val="6"/>
        </w:numPr>
        <w:ind w:hanging="360"/>
        <w:contextualSpacing/>
      </w:pPr>
      <w:r>
        <w:t>Household size: CHAS data have Households with 2</w:t>
      </w:r>
      <w:proofErr w:type="gramStart"/>
      <w:r>
        <w:t>,3,4</w:t>
      </w:r>
      <w:proofErr w:type="gramEnd"/>
      <w:r>
        <w:t>; or households of 5 and more. We include the former under household size 3 and the latter labeled under household size 5 and applied to H4</w:t>
      </w:r>
    </w:p>
    <w:p w:rsidR="00C019DB" w:rsidRDefault="00C019DB" w:rsidP="00C019DB">
      <w:pPr>
        <w:contextualSpacing/>
      </w:pPr>
    </w:p>
    <w:tbl>
      <w:tblPr>
        <w:tblStyle w:val="TableGrid"/>
        <w:tblW w:w="4928" w:type="dxa"/>
        <w:jc w:val="center"/>
        <w:tblLook w:val="04A0" w:firstRow="1" w:lastRow="0" w:firstColumn="1" w:lastColumn="0" w:noHBand="0" w:noVBand="1"/>
      </w:tblPr>
      <w:tblGrid>
        <w:gridCol w:w="1490"/>
        <w:gridCol w:w="3438"/>
      </w:tblGrid>
      <w:tr w:rsidR="00444845" w:rsidRPr="00444845" w:rsidTr="00C531C7">
        <w:trPr>
          <w:trHeight w:val="317"/>
          <w:jc w:val="center"/>
        </w:trPr>
        <w:tc>
          <w:tcPr>
            <w:tcW w:w="0" w:type="auto"/>
            <w:noWrap/>
            <w:vAlign w:val="center"/>
            <w:hideMark/>
          </w:tcPr>
          <w:p w:rsidR="00444845" w:rsidRPr="00444845" w:rsidRDefault="00444845" w:rsidP="00C531C7">
            <w:pPr>
              <w:ind w:left="720"/>
              <w:contextualSpacing/>
              <w:rPr>
                <w:b/>
                <w:bCs/>
              </w:rPr>
            </w:pPr>
            <w:r w:rsidRPr="00444845">
              <w:rPr>
                <w:b/>
                <w:bCs/>
              </w:rPr>
              <w:t>H</w:t>
            </w:r>
          </w:p>
        </w:tc>
        <w:tc>
          <w:tcPr>
            <w:tcW w:w="0" w:type="auto"/>
            <w:noWrap/>
            <w:vAlign w:val="center"/>
            <w:hideMark/>
          </w:tcPr>
          <w:p w:rsidR="00444845" w:rsidRPr="00444845" w:rsidRDefault="00444845" w:rsidP="00C531C7">
            <w:pPr>
              <w:ind w:left="720"/>
              <w:contextualSpacing/>
              <w:rPr>
                <w:b/>
                <w:bCs/>
              </w:rPr>
            </w:pPr>
            <w:r w:rsidRPr="00444845">
              <w:rPr>
                <w:b/>
                <w:bCs/>
              </w:rPr>
              <w:t>household size</w:t>
            </w:r>
          </w:p>
        </w:tc>
      </w:tr>
      <w:tr w:rsidR="00444845" w:rsidRPr="00444845" w:rsidTr="00C531C7">
        <w:trPr>
          <w:trHeight w:val="317"/>
          <w:jc w:val="center"/>
        </w:trPr>
        <w:tc>
          <w:tcPr>
            <w:tcW w:w="0" w:type="auto"/>
            <w:noWrap/>
            <w:vAlign w:val="center"/>
            <w:hideMark/>
          </w:tcPr>
          <w:p w:rsidR="00444845" w:rsidRPr="00444845" w:rsidRDefault="00444845" w:rsidP="00C531C7">
            <w:pPr>
              <w:ind w:left="720"/>
              <w:contextualSpacing/>
            </w:pPr>
            <w:r w:rsidRPr="00444845">
              <w:t>1</w:t>
            </w:r>
          </w:p>
        </w:tc>
        <w:tc>
          <w:tcPr>
            <w:tcW w:w="0" w:type="auto"/>
            <w:noWrap/>
            <w:vAlign w:val="center"/>
            <w:hideMark/>
          </w:tcPr>
          <w:p w:rsidR="00444845" w:rsidRPr="00444845" w:rsidRDefault="00444845" w:rsidP="00C531C7">
            <w:pPr>
              <w:ind w:left="720"/>
              <w:contextualSpacing/>
            </w:pPr>
            <w:r w:rsidRPr="00444845">
              <w:t>1</w:t>
            </w:r>
          </w:p>
        </w:tc>
      </w:tr>
      <w:tr w:rsidR="00444845" w:rsidRPr="00444845" w:rsidTr="00C531C7">
        <w:trPr>
          <w:trHeight w:val="317"/>
          <w:jc w:val="center"/>
        </w:trPr>
        <w:tc>
          <w:tcPr>
            <w:tcW w:w="0" w:type="auto"/>
            <w:noWrap/>
            <w:vAlign w:val="center"/>
            <w:hideMark/>
          </w:tcPr>
          <w:p w:rsidR="00444845" w:rsidRPr="00444845" w:rsidRDefault="00444845" w:rsidP="00C531C7">
            <w:pPr>
              <w:ind w:left="720"/>
              <w:contextualSpacing/>
            </w:pPr>
            <w:r w:rsidRPr="00444845">
              <w:t>3</w:t>
            </w:r>
          </w:p>
        </w:tc>
        <w:tc>
          <w:tcPr>
            <w:tcW w:w="0" w:type="auto"/>
            <w:noWrap/>
            <w:vAlign w:val="center"/>
            <w:hideMark/>
          </w:tcPr>
          <w:p w:rsidR="00444845" w:rsidRPr="00444845" w:rsidRDefault="00444845" w:rsidP="00C531C7">
            <w:pPr>
              <w:ind w:left="720"/>
              <w:contextualSpacing/>
            </w:pPr>
            <w:r w:rsidRPr="00444845">
              <w:t>2 to 4</w:t>
            </w:r>
          </w:p>
        </w:tc>
      </w:tr>
      <w:tr w:rsidR="00444845" w:rsidRPr="00444845" w:rsidTr="00C531C7">
        <w:trPr>
          <w:trHeight w:val="317"/>
          <w:jc w:val="center"/>
        </w:trPr>
        <w:tc>
          <w:tcPr>
            <w:tcW w:w="0" w:type="auto"/>
            <w:noWrap/>
            <w:vAlign w:val="center"/>
            <w:hideMark/>
          </w:tcPr>
          <w:p w:rsidR="00444845" w:rsidRPr="00444845" w:rsidRDefault="00444845" w:rsidP="00C531C7">
            <w:pPr>
              <w:ind w:left="720"/>
              <w:contextualSpacing/>
            </w:pPr>
            <w:r w:rsidRPr="00444845">
              <w:t>5</w:t>
            </w:r>
          </w:p>
        </w:tc>
        <w:tc>
          <w:tcPr>
            <w:tcW w:w="0" w:type="auto"/>
            <w:noWrap/>
            <w:vAlign w:val="center"/>
            <w:hideMark/>
          </w:tcPr>
          <w:p w:rsidR="00444845" w:rsidRPr="00444845" w:rsidRDefault="00444845" w:rsidP="00C531C7">
            <w:pPr>
              <w:ind w:left="720"/>
              <w:contextualSpacing/>
            </w:pPr>
            <w:r w:rsidRPr="00444845">
              <w:t>5 or more</w:t>
            </w:r>
          </w:p>
        </w:tc>
      </w:tr>
    </w:tbl>
    <w:p w:rsidR="00444845" w:rsidRDefault="00444845" w:rsidP="00444845">
      <w:pPr>
        <w:ind w:left="720"/>
        <w:contextualSpacing/>
      </w:pPr>
    </w:p>
    <w:p w:rsidR="00C531C7" w:rsidRDefault="00C531C7" w:rsidP="00444845">
      <w:pPr>
        <w:ind w:left="720"/>
        <w:contextualSpacing/>
      </w:pPr>
    </w:p>
    <w:p w:rsidR="0057039B" w:rsidRDefault="00CF1570">
      <w:pPr>
        <w:numPr>
          <w:ilvl w:val="0"/>
          <w:numId w:val="6"/>
        </w:numPr>
        <w:ind w:hanging="360"/>
        <w:contextualSpacing/>
      </w:pPr>
      <w:r>
        <w:t xml:space="preserve">Household income: CHAS data adjusts household income as a percentage of median by household size. We have reallocated households of different sizes into the income categories of the HIA based </w:t>
      </w:r>
      <w:r w:rsidR="00444845">
        <w:t xml:space="preserve">on the median point. </w:t>
      </w:r>
    </w:p>
    <w:p w:rsidR="00444845" w:rsidRDefault="00444845" w:rsidP="00444845">
      <w:pPr>
        <w:ind w:left="720"/>
        <w:contextualSpacing/>
      </w:pPr>
    </w:p>
    <w:tbl>
      <w:tblPr>
        <w:tblStyle w:val="TableGrid"/>
        <w:tblW w:w="0" w:type="auto"/>
        <w:jc w:val="center"/>
        <w:tblLayout w:type="fixed"/>
        <w:tblLook w:val="04A0" w:firstRow="1" w:lastRow="0" w:firstColumn="1" w:lastColumn="0" w:noHBand="0" w:noVBand="1"/>
      </w:tblPr>
      <w:tblGrid>
        <w:gridCol w:w="2004"/>
        <w:gridCol w:w="908"/>
        <w:gridCol w:w="909"/>
        <w:gridCol w:w="911"/>
        <w:gridCol w:w="1822"/>
        <w:gridCol w:w="876"/>
        <w:gridCol w:w="876"/>
        <w:gridCol w:w="878"/>
      </w:tblGrid>
      <w:tr w:rsidR="00444845" w:rsidRPr="00205EF1" w:rsidTr="00C531C7">
        <w:trPr>
          <w:trHeight w:val="772"/>
          <w:jc w:val="center"/>
        </w:trPr>
        <w:tc>
          <w:tcPr>
            <w:tcW w:w="4732" w:type="dxa"/>
            <w:gridSpan w:val="4"/>
            <w:noWrap/>
            <w:vAlign w:val="center"/>
            <w:hideMark/>
          </w:tcPr>
          <w:p w:rsidR="00444845" w:rsidRPr="00205EF1" w:rsidRDefault="00444845" w:rsidP="00C531C7">
            <w:pPr>
              <w:jc w:val="center"/>
              <w:rPr>
                <w:b/>
                <w:bCs/>
              </w:rPr>
            </w:pPr>
            <w:r w:rsidRPr="00205EF1">
              <w:rPr>
                <w:b/>
                <w:bCs/>
              </w:rPr>
              <w:t>Income Limits by HUD (for CHAS data)</w:t>
            </w:r>
          </w:p>
        </w:tc>
        <w:tc>
          <w:tcPr>
            <w:tcW w:w="4452" w:type="dxa"/>
            <w:gridSpan w:val="4"/>
            <w:noWrap/>
            <w:vAlign w:val="center"/>
            <w:hideMark/>
          </w:tcPr>
          <w:p w:rsidR="00444845" w:rsidRPr="00205EF1" w:rsidRDefault="00444845" w:rsidP="00C531C7">
            <w:pPr>
              <w:jc w:val="center"/>
              <w:rPr>
                <w:b/>
              </w:rPr>
            </w:pPr>
            <w:r w:rsidRPr="00205EF1">
              <w:rPr>
                <w:b/>
              </w:rPr>
              <w:t>Corresponding table with the income range by Metro HIA 2015</w:t>
            </w:r>
          </w:p>
        </w:tc>
      </w:tr>
      <w:tr w:rsidR="00444845" w:rsidRPr="00205EF1" w:rsidTr="00C531C7">
        <w:trPr>
          <w:trHeight w:val="356"/>
          <w:jc w:val="center"/>
        </w:trPr>
        <w:tc>
          <w:tcPr>
            <w:tcW w:w="2004" w:type="dxa"/>
            <w:vMerge w:val="restart"/>
            <w:noWrap/>
            <w:vAlign w:val="center"/>
            <w:hideMark/>
          </w:tcPr>
          <w:p w:rsidR="00444845" w:rsidRPr="00205EF1" w:rsidRDefault="00C531C7" w:rsidP="00C531C7">
            <w:pPr>
              <w:jc w:val="center"/>
            </w:pPr>
            <w:r>
              <w:t xml:space="preserve">CHAS </w:t>
            </w:r>
            <w:r w:rsidR="00444845" w:rsidRPr="00205EF1">
              <w:t>2009-2013</w:t>
            </w:r>
          </w:p>
        </w:tc>
        <w:tc>
          <w:tcPr>
            <w:tcW w:w="2728" w:type="dxa"/>
            <w:gridSpan w:val="3"/>
            <w:noWrap/>
            <w:vAlign w:val="center"/>
            <w:hideMark/>
          </w:tcPr>
          <w:p w:rsidR="00444845" w:rsidRPr="00205EF1" w:rsidRDefault="00444845" w:rsidP="00C531C7">
            <w:pPr>
              <w:jc w:val="center"/>
            </w:pPr>
            <w:r w:rsidRPr="00205EF1">
              <w:t>HH size</w:t>
            </w:r>
          </w:p>
        </w:tc>
        <w:tc>
          <w:tcPr>
            <w:tcW w:w="1822" w:type="dxa"/>
            <w:vMerge w:val="restart"/>
            <w:noWrap/>
            <w:vAlign w:val="center"/>
            <w:hideMark/>
          </w:tcPr>
          <w:p w:rsidR="00444845" w:rsidRPr="00205EF1" w:rsidRDefault="00444845" w:rsidP="00C531C7">
            <w:pPr>
              <w:jc w:val="center"/>
            </w:pPr>
          </w:p>
        </w:tc>
        <w:tc>
          <w:tcPr>
            <w:tcW w:w="2630" w:type="dxa"/>
            <w:gridSpan w:val="3"/>
            <w:noWrap/>
            <w:vAlign w:val="center"/>
            <w:hideMark/>
          </w:tcPr>
          <w:p w:rsidR="00444845" w:rsidRPr="00205EF1" w:rsidRDefault="00444845" w:rsidP="00C531C7">
            <w:pPr>
              <w:jc w:val="center"/>
            </w:pPr>
            <w:r w:rsidRPr="00205EF1">
              <w:t>HH size</w:t>
            </w:r>
          </w:p>
        </w:tc>
      </w:tr>
      <w:tr w:rsidR="00444845" w:rsidRPr="00205EF1" w:rsidTr="00C531C7">
        <w:trPr>
          <w:trHeight w:val="356"/>
          <w:jc w:val="center"/>
        </w:trPr>
        <w:tc>
          <w:tcPr>
            <w:tcW w:w="2004" w:type="dxa"/>
            <w:vMerge/>
            <w:noWrap/>
            <w:vAlign w:val="center"/>
            <w:hideMark/>
          </w:tcPr>
          <w:p w:rsidR="00444845" w:rsidRPr="00205EF1" w:rsidRDefault="00444845" w:rsidP="00C531C7">
            <w:pPr>
              <w:jc w:val="center"/>
            </w:pPr>
          </w:p>
        </w:tc>
        <w:tc>
          <w:tcPr>
            <w:tcW w:w="908" w:type="dxa"/>
            <w:noWrap/>
            <w:vAlign w:val="center"/>
            <w:hideMark/>
          </w:tcPr>
          <w:p w:rsidR="00444845" w:rsidRPr="00205EF1" w:rsidRDefault="00444845" w:rsidP="00C531C7">
            <w:pPr>
              <w:jc w:val="center"/>
            </w:pPr>
            <w:r w:rsidRPr="00205EF1">
              <w:t>1</w:t>
            </w:r>
          </w:p>
        </w:tc>
        <w:tc>
          <w:tcPr>
            <w:tcW w:w="909" w:type="dxa"/>
            <w:noWrap/>
            <w:vAlign w:val="center"/>
            <w:hideMark/>
          </w:tcPr>
          <w:p w:rsidR="00444845" w:rsidRPr="00205EF1" w:rsidRDefault="00444845" w:rsidP="00C531C7">
            <w:pPr>
              <w:jc w:val="center"/>
            </w:pPr>
            <w:r w:rsidRPr="00205EF1">
              <w:t>3</w:t>
            </w:r>
          </w:p>
        </w:tc>
        <w:tc>
          <w:tcPr>
            <w:tcW w:w="911" w:type="dxa"/>
            <w:noWrap/>
            <w:vAlign w:val="center"/>
            <w:hideMark/>
          </w:tcPr>
          <w:p w:rsidR="00444845" w:rsidRPr="00205EF1" w:rsidRDefault="00444845" w:rsidP="00C531C7">
            <w:pPr>
              <w:jc w:val="center"/>
            </w:pPr>
            <w:r w:rsidRPr="00205EF1">
              <w:t>5</w:t>
            </w:r>
          </w:p>
        </w:tc>
        <w:tc>
          <w:tcPr>
            <w:tcW w:w="1822" w:type="dxa"/>
            <w:vMerge/>
            <w:noWrap/>
            <w:vAlign w:val="center"/>
            <w:hideMark/>
          </w:tcPr>
          <w:p w:rsidR="00444845" w:rsidRPr="00205EF1" w:rsidRDefault="00444845" w:rsidP="00C531C7">
            <w:pPr>
              <w:jc w:val="center"/>
            </w:pPr>
          </w:p>
        </w:tc>
        <w:tc>
          <w:tcPr>
            <w:tcW w:w="876" w:type="dxa"/>
            <w:noWrap/>
            <w:vAlign w:val="center"/>
            <w:hideMark/>
          </w:tcPr>
          <w:p w:rsidR="00444845" w:rsidRPr="00205EF1" w:rsidRDefault="00444845" w:rsidP="00C531C7">
            <w:pPr>
              <w:jc w:val="center"/>
            </w:pPr>
            <w:r w:rsidRPr="00205EF1">
              <w:t>1</w:t>
            </w:r>
          </w:p>
        </w:tc>
        <w:tc>
          <w:tcPr>
            <w:tcW w:w="876" w:type="dxa"/>
            <w:noWrap/>
            <w:vAlign w:val="center"/>
            <w:hideMark/>
          </w:tcPr>
          <w:p w:rsidR="00444845" w:rsidRPr="00205EF1" w:rsidRDefault="00444845" w:rsidP="00C531C7">
            <w:pPr>
              <w:jc w:val="center"/>
            </w:pPr>
            <w:r w:rsidRPr="00205EF1">
              <w:t>3</w:t>
            </w:r>
          </w:p>
        </w:tc>
        <w:tc>
          <w:tcPr>
            <w:tcW w:w="878" w:type="dxa"/>
            <w:noWrap/>
            <w:vAlign w:val="center"/>
            <w:hideMark/>
          </w:tcPr>
          <w:p w:rsidR="00444845" w:rsidRPr="00205EF1" w:rsidRDefault="00444845" w:rsidP="00C531C7">
            <w:pPr>
              <w:jc w:val="center"/>
            </w:pPr>
            <w:r w:rsidRPr="00205EF1">
              <w:t>5</w:t>
            </w:r>
          </w:p>
        </w:tc>
      </w:tr>
      <w:tr w:rsidR="00444845" w:rsidRPr="00205EF1" w:rsidTr="00C531C7">
        <w:trPr>
          <w:trHeight w:val="356"/>
          <w:jc w:val="center"/>
        </w:trPr>
        <w:tc>
          <w:tcPr>
            <w:tcW w:w="2004" w:type="dxa"/>
            <w:noWrap/>
            <w:vAlign w:val="center"/>
            <w:hideMark/>
          </w:tcPr>
          <w:p w:rsidR="00444845" w:rsidRPr="00205EF1" w:rsidRDefault="00444845" w:rsidP="00C531C7">
            <w:pPr>
              <w:jc w:val="center"/>
            </w:pPr>
            <w:r w:rsidRPr="00205EF1">
              <w:t>below 30%</w:t>
            </w:r>
          </w:p>
        </w:tc>
        <w:tc>
          <w:tcPr>
            <w:tcW w:w="908" w:type="dxa"/>
            <w:noWrap/>
            <w:vAlign w:val="center"/>
            <w:hideMark/>
          </w:tcPr>
          <w:p w:rsidR="00444845" w:rsidRPr="00205EF1" w:rsidRDefault="00444845" w:rsidP="00C531C7">
            <w:pPr>
              <w:jc w:val="center"/>
            </w:pPr>
            <w:r w:rsidRPr="00205EF1">
              <w:t>15150</w:t>
            </w:r>
          </w:p>
        </w:tc>
        <w:tc>
          <w:tcPr>
            <w:tcW w:w="909" w:type="dxa"/>
            <w:noWrap/>
            <w:vAlign w:val="center"/>
            <w:hideMark/>
          </w:tcPr>
          <w:p w:rsidR="00444845" w:rsidRPr="00205EF1" w:rsidRDefault="00444845" w:rsidP="00C531C7">
            <w:pPr>
              <w:jc w:val="center"/>
            </w:pPr>
            <w:r w:rsidRPr="00205EF1">
              <w:t>19450</w:t>
            </w:r>
          </w:p>
        </w:tc>
        <w:tc>
          <w:tcPr>
            <w:tcW w:w="911" w:type="dxa"/>
            <w:noWrap/>
            <w:vAlign w:val="center"/>
            <w:hideMark/>
          </w:tcPr>
          <w:p w:rsidR="00444845" w:rsidRPr="00205EF1" w:rsidRDefault="00444845" w:rsidP="00C531C7">
            <w:pPr>
              <w:jc w:val="center"/>
            </w:pPr>
            <w:r w:rsidRPr="00205EF1">
              <w:t>23350</w:t>
            </w:r>
          </w:p>
        </w:tc>
        <w:tc>
          <w:tcPr>
            <w:tcW w:w="1822" w:type="dxa"/>
            <w:noWrap/>
            <w:vAlign w:val="center"/>
            <w:hideMark/>
          </w:tcPr>
          <w:p w:rsidR="00444845" w:rsidRPr="00205EF1" w:rsidRDefault="00444845" w:rsidP="00C531C7">
            <w:pPr>
              <w:jc w:val="center"/>
            </w:pPr>
            <w:r w:rsidRPr="00205EF1">
              <w:t>below 30%</w:t>
            </w:r>
          </w:p>
        </w:tc>
        <w:tc>
          <w:tcPr>
            <w:tcW w:w="876" w:type="dxa"/>
            <w:noWrap/>
            <w:vAlign w:val="center"/>
            <w:hideMark/>
          </w:tcPr>
          <w:p w:rsidR="00444845" w:rsidRPr="00205EF1" w:rsidRDefault="00444845" w:rsidP="00C531C7">
            <w:pPr>
              <w:jc w:val="center"/>
            </w:pPr>
            <w:r>
              <w:t>i</w:t>
            </w:r>
            <w:r w:rsidRPr="00205EF1">
              <w:t>1</w:t>
            </w:r>
          </w:p>
        </w:tc>
        <w:tc>
          <w:tcPr>
            <w:tcW w:w="876" w:type="dxa"/>
            <w:noWrap/>
            <w:vAlign w:val="center"/>
            <w:hideMark/>
          </w:tcPr>
          <w:p w:rsidR="00444845" w:rsidRPr="00205EF1" w:rsidRDefault="00444845" w:rsidP="00C531C7">
            <w:pPr>
              <w:jc w:val="center"/>
            </w:pPr>
            <w:r>
              <w:t>i</w:t>
            </w:r>
            <w:r w:rsidRPr="00205EF1">
              <w:t>1</w:t>
            </w:r>
          </w:p>
        </w:tc>
        <w:tc>
          <w:tcPr>
            <w:tcW w:w="878" w:type="dxa"/>
            <w:noWrap/>
            <w:vAlign w:val="center"/>
            <w:hideMark/>
          </w:tcPr>
          <w:p w:rsidR="00444845" w:rsidRPr="00205EF1" w:rsidRDefault="00444845" w:rsidP="00C531C7">
            <w:pPr>
              <w:jc w:val="center"/>
            </w:pPr>
            <w:r>
              <w:t>i</w:t>
            </w:r>
            <w:r w:rsidRPr="00205EF1">
              <w:t>1</w:t>
            </w:r>
          </w:p>
        </w:tc>
      </w:tr>
      <w:tr w:rsidR="00444845" w:rsidRPr="00205EF1" w:rsidTr="00C531C7">
        <w:trPr>
          <w:trHeight w:val="356"/>
          <w:jc w:val="center"/>
        </w:trPr>
        <w:tc>
          <w:tcPr>
            <w:tcW w:w="2004" w:type="dxa"/>
            <w:noWrap/>
            <w:vAlign w:val="center"/>
            <w:hideMark/>
          </w:tcPr>
          <w:p w:rsidR="00444845" w:rsidRPr="00205EF1" w:rsidRDefault="00444845" w:rsidP="00C531C7">
            <w:pPr>
              <w:jc w:val="center"/>
            </w:pPr>
            <w:r w:rsidRPr="00205EF1">
              <w:t>below 50%</w:t>
            </w:r>
          </w:p>
        </w:tc>
        <w:tc>
          <w:tcPr>
            <w:tcW w:w="908" w:type="dxa"/>
            <w:noWrap/>
            <w:vAlign w:val="center"/>
            <w:hideMark/>
          </w:tcPr>
          <w:p w:rsidR="00444845" w:rsidRPr="00205EF1" w:rsidRDefault="00444845" w:rsidP="00C531C7">
            <w:pPr>
              <w:jc w:val="center"/>
            </w:pPr>
            <w:r w:rsidRPr="00205EF1">
              <w:t>25200</w:t>
            </w:r>
          </w:p>
        </w:tc>
        <w:tc>
          <w:tcPr>
            <w:tcW w:w="909" w:type="dxa"/>
            <w:noWrap/>
            <w:vAlign w:val="center"/>
            <w:hideMark/>
          </w:tcPr>
          <w:p w:rsidR="00444845" w:rsidRPr="00205EF1" w:rsidRDefault="00444845" w:rsidP="00C531C7">
            <w:pPr>
              <w:jc w:val="center"/>
            </w:pPr>
            <w:r w:rsidRPr="00205EF1">
              <w:t>32400</w:t>
            </w:r>
          </w:p>
        </w:tc>
        <w:tc>
          <w:tcPr>
            <w:tcW w:w="911" w:type="dxa"/>
            <w:noWrap/>
            <w:vAlign w:val="center"/>
            <w:hideMark/>
          </w:tcPr>
          <w:p w:rsidR="00444845" w:rsidRPr="00205EF1" w:rsidRDefault="00444845" w:rsidP="00C531C7">
            <w:pPr>
              <w:jc w:val="center"/>
            </w:pPr>
            <w:r w:rsidRPr="00205EF1">
              <w:t>38900</w:t>
            </w:r>
          </w:p>
        </w:tc>
        <w:tc>
          <w:tcPr>
            <w:tcW w:w="1822" w:type="dxa"/>
            <w:noWrap/>
            <w:vAlign w:val="center"/>
            <w:hideMark/>
          </w:tcPr>
          <w:p w:rsidR="00444845" w:rsidRPr="00205EF1" w:rsidRDefault="00444845" w:rsidP="00C531C7">
            <w:pPr>
              <w:jc w:val="center"/>
            </w:pPr>
            <w:r w:rsidRPr="00205EF1">
              <w:t>below 50%</w:t>
            </w:r>
          </w:p>
        </w:tc>
        <w:tc>
          <w:tcPr>
            <w:tcW w:w="876" w:type="dxa"/>
            <w:noWrap/>
            <w:vAlign w:val="center"/>
            <w:hideMark/>
          </w:tcPr>
          <w:p w:rsidR="00444845" w:rsidRPr="00205EF1" w:rsidRDefault="00444845" w:rsidP="00C531C7">
            <w:pPr>
              <w:jc w:val="center"/>
            </w:pPr>
            <w:r>
              <w:t>i</w:t>
            </w:r>
            <w:r w:rsidRPr="00205EF1">
              <w:t>1</w:t>
            </w:r>
          </w:p>
        </w:tc>
        <w:tc>
          <w:tcPr>
            <w:tcW w:w="876" w:type="dxa"/>
            <w:noWrap/>
            <w:vAlign w:val="center"/>
            <w:hideMark/>
          </w:tcPr>
          <w:p w:rsidR="00444845" w:rsidRPr="00205EF1" w:rsidRDefault="00444845" w:rsidP="00C531C7">
            <w:pPr>
              <w:jc w:val="center"/>
            </w:pPr>
            <w:r>
              <w:t>i</w:t>
            </w:r>
            <w:r w:rsidRPr="00205EF1">
              <w:t>2</w:t>
            </w:r>
          </w:p>
        </w:tc>
        <w:tc>
          <w:tcPr>
            <w:tcW w:w="878" w:type="dxa"/>
            <w:noWrap/>
            <w:vAlign w:val="center"/>
            <w:hideMark/>
          </w:tcPr>
          <w:p w:rsidR="00444845" w:rsidRPr="00205EF1" w:rsidRDefault="00444845" w:rsidP="00C531C7">
            <w:pPr>
              <w:jc w:val="center"/>
            </w:pPr>
            <w:r>
              <w:t>i</w:t>
            </w:r>
            <w:r w:rsidRPr="00205EF1">
              <w:t>3</w:t>
            </w:r>
          </w:p>
        </w:tc>
      </w:tr>
      <w:tr w:rsidR="00444845" w:rsidRPr="00205EF1" w:rsidTr="00C531C7">
        <w:trPr>
          <w:trHeight w:val="356"/>
          <w:jc w:val="center"/>
        </w:trPr>
        <w:tc>
          <w:tcPr>
            <w:tcW w:w="2004" w:type="dxa"/>
            <w:noWrap/>
            <w:vAlign w:val="center"/>
            <w:hideMark/>
          </w:tcPr>
          <w:p w:rsidR="00444845" w:rsidRPr="00205EF1" w:rsidRDefault="00444845" w:rsidP="00C531C7">
            <w:pPr>
              <w:jc w:val="center"/>
            </w:pPr>
            <w:r w:rsidRPr="00205EF1">
              <w:t>below 80%</w:t>
            </w:r>
          </w:p>
        </w:tc>
        <w:tc>
          <w:tcPr>
            <w:tcW w:w="908" w:type="dxa"/>
            <w:noWrap/>
            <w:vAlign w:val="center"/>
            <w:hideMark/>
          </w:tcPr>
          <w:p w:rsidR="00444845" w:rsidRPr="00205EF1" w:rsidRDefault="00444845" w:rsidP="00C531C7">
            <w:pPr>
              <w:jc w:val="center"/>
            </w:pPr>
            <w:r w:rsidRPr="00205EF1">
              <w:t>40350</w:t>
            </w:r>
          </w:p>
        </w:tc>
        <w:tc>
          <w:tcPr>
            <w:tcW w:w="909" w:type="dxa"/>
            <w:noWrap/>
            <w:vAlign w:val="center"/>
            <w:hideMark/>
          </w:tcPr>
          <w:p w:rsidR="00444845" w:rsidRPr="00205EF1" w:rsidRDefault="00444845" w:rsidP="00C531C7">
            <w:pPr>
              <w:jc w:val="center"/>
            </w:pPr>
            <w:r w:rsidRPr="00205EF1">
              <w:t>51850</w:t>
            </w:r>
          </w:p>
        </w:tc>
        <w:tc>
          <w:tcPr>
            <w:tcW w:w="911" w:type="dxa"/>
            <w:noWrap/>
            <w:vAlign w:val="center"/>
            <w:hideMark/>
          </w:tcPr>
          <w:p w:rsidR="00444845" w:rsidRPr="00205EF1" w:rsidRDefault="00444845" w:rsidP="00C531C7">
            <w:pPr>
              <w:jc w:val="center"/>
            </w:pPr>
            <w:r w:rsidRPr="00205EF1">
              <w:t>62250</w:t>
            </w:r>
          </w:p>
        </w:tc>
        <w:tc>
          <w:tcPr>
            <w:tcW w:w="1822" w:type="dxa"/>
            <w:noWrap/>
            <w:vAlign w:val="center"/>
            <w:hideMark/>
          </w:tcPr>
          <w:p w:rsidR="00444845" w:rsidRPr="00205EF1" w:rsidRDefault="00444845" w:rsidP="00C531C7">
            <w:pPr>
              <w:jc w:val="center"/>
            </w:pPr>
            <w:r w:rsidRPr="00205EF1">
              <w:t>below 80%</w:t>
            </w:r>
          </w:p>
        </w:tc>
        <w:tc>
          <w:tcPr>
            <w:tcW w:w="876" w:type="dxa"/>
            <w:noWrap/>
            <w:vAlign w:val="center"/>
            <w:hideMark/>
          </w:tcPr>
          <w:p w:rsidR="00444845" w:rsidRPr="00205EF1" w:rsidRDefault="00444845" w:rsidP="00C531C7">
            <w:pPr>
              <w:jc w:val="center"/>
            </w:pPr>
            <w:r>
              <w:t>i</w:t>
            </w:r>
            <w:r w:rsidRPr="00205EF1">
              <w:t>3</w:t>
            </w:r>
          </w:p>
        </w:tc>
        <w:tc>
          <w:tcPr>
            <w:tcW w:w="876" w:type="dxa"/>
            <w:noWrap/>
            <w:vAlign w:val="center"/>
            <w:hideMark/>
          </w:tcPr>
          <w:p w:rsidR="00444845" w:rsidRPr="00205EF1" w:rsidRDefault="00444845" w:rsidP="00C531C7">
            <w:pPr>
              <w:jc w:val="center"/>
            </w:pPr>
            <w:r>
              <w:t>i</w:t>
            </w:r>
            <w:r w:rsidRPr="00205EF1">
              <w:t>3</w:t>
            </w:r>
          </w:p>
        </w:tc>
        <w:tc>
          <w:tcPr>
            <w:tcW w:w="878" w:type="dxa"/>
            <w:noWrap/>
            <w:vAlign w:val="center"/>
            <w:hideMark/>
          </w:tcPr>
          <w:p w:rsidR="00444845" w:rsidRPr="00205EF1" w:rsidRDefault="00444845" w:rsidP="00C531C7">
            <w:pPr>
              <w:jc w:val="center"/>
            </w:pPr>
            <w:r>
              <w:t>i</w:t>
            </w:r>
            <w:r w:rsidRPr="00205EF1">
              <w:t>3</w:t>
            </w:r>
          </w:p>
        </w:tc>
      </w:tr>
      <w:tr w:rsidR="00444845" w:rsidRPr="00205EF1" w:rsidTr="00C531C7">
        <w:trPr>
          <w:trHeight w:val="356"/>
          <w:jc w:val="center"/>
        </w:trPr>
        <w:tc>
          <w:tcPr>
            <w:tcW w:w="2004" w:type="dxa"/>
            <w:noWrap/>
            <w:vAlign w:val="center"/>
            <w:hideMark/>
          </w:tcPr>
          <w:p w:rsidR="00444845" w:rsidRPr="00205EF1" w:rsidRDefault="00444845" w:rsidP="00C531C7">
            <w:pPr>
              <w:jc w:val="center"/>
            </w:pPr>
            <w:r w:rsidRPr="00205EF1">
              <w:t>median income</w:t>
            </w:r>
          </w:p>
        </w:tc>
        <w:tc>
          <w:tcPr>
            <w:tcW w:w="908" w:type="dxa"/>
            <w:noWrap/>
            <w:vAlign w:val="center"/>
            <w:hideMark/>
          </w:tcPr>
          <w:p w:rsidR="00444845" w:rsidRPr="00205EF1" w:rsidRDefault="00444845" w:rsidP="00C531C7">
            <w:pPr>
              <w:jc w:val="center"/>
            </w:pPr>
          </w:p>
        </w:tc>
        <w:tc>
          <w:tcPr>
            <w:tcW w:w="909" w:type="dxa"/>
            <w:noWrap/>
            <w:vAlign w:val="center"/>
            <w:hideMark/>
          </w:tcPr>
          <w:p w:rsidR="00444845" w:rsidRPr="00205EF1" w:rsidRDefault="00444845" w:rsidP="00C531C7">
            <w:pPr>
              <w:jc w:val="center"/>
            </w:pPr>
            <w:r w:rsidRPr="00205EF1">
              <w:t>66240</w:t>
            </w:r>
          </w:p>
        </w:tc>
        <w:tc>
          <w:tcPr>
            <w:tcW w:w="911" w:type="dxa"/>
            <w:noWrap/>
            <w:vAlign w:val="center"/>
            <w:hideMark/>
          </w:tcPr>
          <w:p w:rsidR="00444845" w:rsidRPr="00205EF1" w:rsidRDefault="00444845" w:rsidP="00C531C7">
            <w:pPr>
              <w:jc w:val="center"/>
            </w:pPr>
            <w:r w:rsidRPr="00205EF1">
              <w:t>77760</w:t>
            </w:r>
          </w:p>
        </w:tc>
        <w:tc>
          <w:tcPr>
            <w:tcW w:w="1822" w:type="dxa"/>
            <w:noWrap/>
            <w:vAlign w:val="center"/>
            <w:hideMark/>
          </w:tcPr>
          <w:p w:rsidR="00444845" w:rsidRPr="00205EF1" w:rsidRDefault="00444845" w:rsidP="00C531C7">
            <w:pPr>
              <w:jc w:val="center"/>
            </w:pPr>
            <w:r w:rsidRPr="00205EF1">
              <w:t>above 80%</w:t>
            </w:r>
          </w:p>
        </w:tc>
        <w:tc>
          <w:tcPr>
            <w:tcW w:w="876" w:type="dxa"/>
            <w:noWrap/>
            <w:vAlign w:val="center"/>
            <w:hideMark/>
          </w:tcPr>
          <w:p w:rsidR="00444845" w:rsidRPr="00205EF1" w:rsidRDefault="00444845" w:rsidP="00C531C7">
            <w:pPr>
              <w:jc w:val="center"/>
            </w:pPr>
            <w:r>
              <w:t>i</w:t>
            </w:r>
            <w:r w:rsidRPr="00205EF1">
              <w:t>3</w:t>
            </w:r>
          </w:p>
        </w:tc>
        <w:tc>
          <w:tcPr>
            <w:tcW w:w="876" w:type="dxa"/>
            <w:noWrap/>
            <w:vAlign w:val="center"/>
            <w:hideMark/>
          </w:tcPr>
          <w:p w:rsidR="00444845" w:rsidRPr="00205EF1" w:rsidRDefault="00444845" w:rsidP="00C531C7">
            <w:pPr>
              <w:jc w:val="center"/>
            </w:pPr>
            <w:r>
              <w:t>i</w:t>
            </w:r>
            <w:r w:rsidRPr="00205EF1">
              <w:t>4</w:t>
            </w:r>
          </w:p>
        </w:tc>
        <w:tc>
          <w:tcPr>
            <w:tcW w:w="878" w:type="dxa"/>
            <w:noWrap/>
            <w:vAlign w:val="center"/>
            <w:hideMark/>
          </w:tcPr>
          <w:p w:rsidR="00444845" w:rsidRPr="00205EF1" w:rsidRDefault="00444845" w:rsidP="00C531C7">
            <w:pPr>
              <w:jc w:val="center"/>
            </w:pPr>
            <w:r>
              <w:t>i</w:t>
            </w:r>
            <w:r w:rsidRPr="00205EF1">
              <w:t>4</w:t>
            </w:r>
          </w:p>
        </w:tc>
      </w:tr>
    </w:tbl>
    <w:p w:rsidR="00444845" w:rsidRDefault="00444845" w:rsidP="00444845">
      <w:pPr>
        <w:ind w:left="720"/>
        <w:contextualSpacing/>
      </w:pPr>
    </w:p>
    <w:p w:rsidR="00444845" w:rsidRDefault="00444845" w:rsidP="00444845">
      <w:pPr>
        <w:ind w:left="720"/>
        <w:contextualSpacing/>
      </w:pPr>
    </w:p>
    <w:p w:rsidR="0057039B" w:rsidRDefault="00CF1570">
      <w:pPr>
        <w:numPr>
          <w:ilvl w:val="0"/>
          <w:numId w:val="6"/>
        </w:numPr>
        <w:ind w:hanging="360"/>
        <w:contextualSpacing/>
      </w:pPr>
      <w:r>
        <w:t xml:space="preserve">Household age: CHAS data addresses elderly and non-elderly households only. We have labeled these non-elderly households as a0 in our dataset and would defer to the modeling team to assign them to a category. </w:t>
      </w:r>
    </w:p>
    <w:p w:rsidR="00444845" w:rsidRDefault="00444845" w:rsidP="00444845">
      <w:pPr>
        <w:pStyle w:val="ListParagraph"/>
      </w:pPr>
    </w:p>
    <w:tbl>
      <w:tblPr>
        <w:tblStyle w:val="TableGrid"/>
        <w:tblW w:w="0" w:type="auto"/>
        <w:jc w:val="center"/>
        <w:tblLayout w:type="fixed"/>
        <w:tblLook w:val="04A0" w:firstRow="1" w:lastRow="0" w:firstColumn="1" w:lastColumn="0" w:noHBand="0" w:noVBand="1"/>
      </w:tblPr>
      <w:tblGrid>
        <w:gridCol w:w="1763"/>
        <w:gridCol w:w="3727"/>
      </w:tblGrid>
      <w:tr w:rsidR="00444845" w:rsidRPr="00205EF1" w:rsidTr="00C531C7">
        <w:trPr>
          <w:trHeight w:val="295"/>
          <w:jc w:val="center"/>
        </w:trPr>
        <w:tc>
          <w:tcPr>
            <w:tcW w:w="1763" w:type="dxa"/>
            <w:noWrap/>
            <w:vAlign w:val="center"/>
            <w:hideMark/>
          </w:tcPr>
          <w:p w:rsidR="00444845" w:rsidRPr="00205EF1" w:rsidRDefault="00444845" w:rsidP="00C531C7">
            <w:pPr>
              <w:jc w:val="center"/>
              <w:rPr>
                <w:b/>
                <w:bCs/>
              </w:rPr>
            </w:pPr>
            <w:r w:rsidRPr="00205EF1">
              <w:rPr>
                <w:b/>
                <w:bCs/>
              </w:rPr>
              <w:t>A</w:t>
            </w:r>
          </w:p>
        </w:tc>
        <w:tc>
          <w:tcPr>
            <w:tcW w:w="3727" w:type="dxa"/>
            <w:noWrap/>
            <w:vAlign w:val="center"/>
            <w:hideMark/>
          </w:tcPr>
          <w:p w:rsidR="00444845" w:rsidRPr="00205EF1" w:rsidRDefault="00C531C7" w:rsidP="00C531C7">
            <w:pPr>
              <w:jc w:val="center"/>
              <w:rPr>
                <w:b/>
                <w:bCs/>
              </w:rPr>
            </w:pPr>
            <w:r>
              <w:rPr>
                <w:b/>
                <w:bCs/>
              </w:rPr>
              <w:t>Household type</w:t>
            </w:r>
          </w:p>
        </w:tc>
      </w:tr>
      <w:tr w:rsidR="00444845" w:rsidRPr="00205EF1" w:rsidTr="00C531C7">
        <w:trPr>
          <w:trHeight w:val="295"/>
          <w:jc w:val="center"/>
        </w:trPr>
        <w:tc>
          <w:tcPr>
            <w:tcW w:w="1763" w:type="dxa"/>
            <w:noWrap/>
            <w:vAlign w:val="center"/>
            <w:hideMark/>
          </w:tcPr>
          <w:p w:rsidR="00444845" w:rsidRPr="00205EF1" w:rsidRDefault="00444845" w:rsidP="00C531C7">
            <w:pPr>
              <w:jc w:val="center"/>
            </w:pPr>
            <w:r w:rsidRPr="00205EF1">
              <w:t>0</w:t>
            </w:r>
          </w:p>
        </w:tc>
        <w:tc>
          <w:tcPr>
            <w:tcW w:w="3727" w:type="dxa"/>
            <w:noWrap/>
            <w:vAlign w:val="center"/>
            <w:hideMark/>
          </w:tcPr>
          <w:p w:rsidR="00444845" w:rsidRPr="00205EF1" w:rsidRDefault="00444845" w:rsidP="00C531C7">
            <w:pPr>
              <w:jc w:val="center"/>
            </w:pPr>
            <w:r>
              <w:t>Elderly (age 62 or over)</w:t>
            </w:r>
          </w:p>
        </w:tc>
      </w:tr>
      <w:tr w:rsidR="00444845" w:rsidRPr="00205EF1" w:rsidTr="00C531C7">
        <w:trPr>
          <w:trHeight w:val="295"/>
          <w:jc w:val="center"/>
        </w:trPr>
        <w:tc>
          <w:tcPr>
            <w:tcW w:w="1763" w:type="dxa"/>
            <w:noWrap/>
            <w:vAlign w:val="center"/>
            <w:hideMark/>
          </w:tcPr>
          <w:p w:rsidR="00444845" w:rsidRPr="00205EF1" w:rsidRDefault="00444845" w:rsidP="00C531C7">
            <w:pPr>
              <w:jc w:val="center"/>
            </w:pPr>
            <w:r w:rsidRPr="00205EF1">
              <w:t>4</w:t>
            </w:r>
          </w:p>
        </w:tc>
        <w:tc>
          <w:tcPr>
            <w:tcW w:w="3727" w:type="dxa"/>
            <w:noWrap/>
            <w:vAlign w:val="center"/>
            <w:hideMark/>
          </w:tcPr>
          <w:p w:rsidR="00444845" w:rsidRPr="00205EF1" w:rsidRDefault="00444845" w:rsidP="00C531C7">
            <w:pPr>
              <w:jc w:val="center"/>
            </w:pPr>
            <w:r w:rsidRPr="00205EF1">
              <w:t>Non-elderly</w:t>
            </w:r>
          </w:p>
        </w:tc>
      </w:tr>
    </w:tbl>
    <w:p w:rsidR="00444845" w:rsidRDefault="00444845" w:rsidP="00444845">
      <w:pPr>
        <w:ind w:left="720"/>
        <w:contextualSpacing/>
      </w:pPr>
    </w:p>
    <w:p w:rsidR="00A4131D" w:rsidRDefault="00A4131D" w:rsidP="00A4131D"/>
    <w:p w:rsidR="00C531C7" w:rsidRDefault="00A4131D" w:rsidP="00C531C7">
      <w:r>
        <w:lastRenderedPageBreak/>
        <w:t xml:space="preserve">Projected expected value of population change by </w:t>
      </w:r>
      <w:proofErr w:type="gramStart"/>
      <w:r>
        <w:t>HIA(</w:t>
      </w:r>
      <w:proofErr w:type="gramEnd"/>
      <w:r>
        <w:t>14 types)</w:t>
      </w:r>
      <w:r w:rsidR="00C531C7">
        <w:t xml:space="preserve"> are below. </w:t>
      </w:r>
      <w:r w:rsidR="00C531C7" w:rsidRPr="00A4131D">
        <w:t>These figures add to the 2015 HIA to create final population numbers for the projection.</w:t>
      </w:r>
    </w:p>
    <w:p w:rsidR="00A4131D" w:rsidRDefault="00A4131D" w:rsidP="00A4131D"/>
    <w:tbl>
      <w:tblPr>
        <w:tblStyle w:val="TableGrid"/>
        <w:tblW w:w="0" w:type="auto"/>
        <w:jc w:val="center"/>
        <w:tblLook w:val="04A0" w:firstRow="1" w:lastRow="0" w:firstColumn="1" w:lastColumn="0" w:noHBand="0" w:noVBand="1"/>
      </w:tblPr>
      <w:tblGrid>
        <w:gridCol w:w="4626"/>
      </w:tblGrid>
      <w:tr w:rsidR="00C531C7" w:rsidTr="00C531C7">
        <w:trPr>
          <w:trHeight w:val="429"/>
          <w:jc w:val="center"/>
        </w:trPr>
        <w:tc>
          <w:tcPr>
            <w:tcW w:w="4626" w:type="dxa"/>
            <w:vAlign w:val="center"/>
          </w:tcPr>
          <w:p w:rsidR="00C531C7" w:rsidRPr="00C531C7" w:rsidRDefault="00C531C7" w:rsidP="00C531C7">
            <w:pPr>
              <w:contextualSpacing/>
              <w:jc w:val="center"/>
              <w:rPr>
                <w:b/>
              </w:rPr>
            </w:pPr>
            <w:r w:rsidRPr="00C531C7">
              <w:rPr>
                <w:b/>
              </w:rPr>
              <w:t>Newly created HIA categories</w:t>
            </w:r>
          </w:p>
        </w:tc>
      </w:tr>
      <w:tr w:rsidR="00C531C7" w:rsidTr="00C531C7">
        <w:trPr>
          <w:trHeight w:val="3500"/>
          <w:jc w:val="center"/>
        </w:trPr>
        <w:tc>
          <w:tcPr>
            <w:tcW w:w="4626" w:type="dxa"/>
            <w:vAlign w:val="center"/>
          </w:tcPr>
          <w:p w:rsidR="00C531C7" w:rsidRDefault="00C531C7" w:rsidP="00C531C7">
            <w:pPr>
              <w:jc w:val="center"/>
            </w:pPr>
            <w:r>
              <w:t>h1i1a0</w:t>
            </w:r>
          </w:p>
          <w:p w:rsidR="00C531C7" w:rsidRDefault="00C531C7" w:rsidP="00C531C7">
            <w:pPr>
              <w:jc w:val="center"/>
            </w:pPr>
            <w:r>
              <w:t>h1i1a4</w:t>
            </w:r>
          </w:p>
          <w:p w:rsidR="00C531C7" w:rsidRDefault="00C531C7" w:rsidP="00C531C7">
            <w:pPr>
              <w:jc w:val="center"/>
            </w:pPr>
            <w:r>
              <w:t>h1i3a0</w:t>
            </w:r>
          </w:p>
          <w:p w:rsidR="00C531C7" w:rsidRDefault="00C531C7" w:rsidP="00C531C7">
            <w:pPr>
              <w:jc w:val="center"/>
            </w:pPr>
            <w:r>
              <w:t>h1i3a4</w:t>
            </w:r>
          </w:p>
          <w:p w:rsidR="00C531C7" w:rsidRDefault="00C531C7" w:rsidP="00C531C7">
            <w:pPr>
              <w:jc w:val="center"/>
            </w:pPr>
            <w:r>
              <w:t>h3i1a0</w:t>
            </w:r>
          </w:p>
          <w:p w:rsidR="00C531C7" w:rsidRDefault="00C531C7" w:rsidP="00C531C7">
            <w:pPr>
              <w:jc w:val="center"/>
            </w:pPr>
            <w:r>
              <w:t>h3i1a4</w:t>
            </w:r>
          </w:p>
          <w:p w:rsidR="00C531C7" w:rsidRDefault="00C531C7" w:rsidP="00C531C7">
            <w:pPr>
              <w:jc w:val="center"/>
            </w:pPr>
            <w:r>
              <w:t>h3i2a0</w:t>
            </w:r>
          </w:p>
          <w:p w:rsidR="00C531C7" w:rsidRDefault="00C531C7" w:rsidP="00C531C7">
            <w:pPr>
              <w:jc w:val="center"/>
            </w:pPr>
            <w:r>
              <w:t>h3i2a4</w:t>
            </w:r>
          </w:p>
          <w:p w:rsidR="00C531C7" w:rsidRDefault="00C531C7" w:rsidP="00C531C7">
            <w:pPr>
              <w:jc w:val="center"/>
            </w:pPr>
            <w:r>
              <w:t>h3i3a0</w:t>
            </w:r>
          </w:p>
          <w:p w:rsidR="00C531C7" w:rsidRDefault="00C531C7" w:rsidP="00C531C7">
            <w:pPr>
              <w:jc w:val="center"/>
            </w:pPr>
            <w:r>
              <w:t>h3i3a4</w:t>
            </w:r>
          </w:p>
          <w:p w:rsidR="00C531C7" w:rsidRDefault="00C531C7" w:rsidP="00C531C7">
            <w:pPr>
              <w:jc w:val="center"/>
            </w:pPr>
            <w:r>
              <w:t>h5i1a0</w:t>
            </w:r>
          </w:p>
          <w:p w:rsidR="00C531C7" w:rsidRDefault="00C531C7" w:rsidP="00C531C7">
            <w:pPr>
              <w:jc w:val="center"/>
            </w:pPr>
            <w:r>
              <w:t>h5i3a0</w:t>
            </w:r>
          </w:p>
          <w:p w:rsidR="00C531C7" w:rsidRDefault="00C531C7" w:rsidP="00C531C7">
            <w:pPr>
              <w:jc w:val="center"/>
            </w:pPr>
            <w:r>
              <w:t>h5i4a0</w:t>
            </w:r>
          </w:p>
        </w:tc>
      </w:tr>
    </w:tbl>
    <w:p w:rsidR="00C531C7" w:rsidRDefault="00C531C7" w:rsidP="00444845">
      <w:pPr>
        <w:ind w:left="720"/>
        <w:contextualSpacing/>
      </w:pPr>
    </w:p>
    <w:p w:rsidR="00C531C7" w:rsidRDefault="00C531C7" w:rsidP="00444845">
      <w:pPr>
        <w:ind w:left="720"/>
        <w:contextualSpacing/>
      </w:pPr>
    </w:p>
    <w:p w:rsidR="00C531C7" w:rsidRDefault="00C531C7" w:rsidP="00444845">
      <w:pPr>
        <w:ind w:left="720"/>
        <w:contextualSpacing/>
      </w:pPr>
    </w:p>
    <w:p w:rsidR="00C019DB" w:rsidRDefault="00C019DB" w:rsidP="00444845">
      <w:r>
        <w:t>6. Reconciliation</w:t>
      </w:r>
      <w:r w:rsidR="00444845">
        <w:t xml:space="preserve"> </w:t>
      </w:r>
      <w:r>
        <w:t xml:space="preserve">of </w:t>
      </w:r>
      <w:r w:rsidR="00444845">
        <w:t>HIA categories</w:t>
      </w:r>
    </w:p>
    <w:p w:rsidR="00C019DB" w:rsidRDefault="00C019DB" w:rsidP="00444845"/>
    <w:p w:rsidR="00444845" w:rsidRDefault="00C019DB" w:rsidP="00444845">
      <w:r>
        <w:t>HIA categories originally from</w:t>
      </w:r>
      <w:r w:rsidR="00444845">
        <w:t xml:space="preserve"> Metro </w:t>
      </w:r>
      <w:r w:rsidR="00444845">
        <w:t xml:space="preserve">was </w:t>
      </w:r>
      <w:r>
        <w:t>adjusted</w:t>
      </w:r>
      <w:r w:rsidR="00444845">
        <w:t xml:space="preserve"> to 14 </w:t>
      </w:r>
      <w:r>
        <w:t xml:space="preserve">new </w:t>
      </w:r>
      <w:r w:rsidR="00444845">
        <w:t>HIA categories by following the order.</w:t>
      </w:r>
    </w:p>
    <w:p w:rsidR="00444845" w:rsidRDefault="00444845" w:rsidP="00444845"/>
    <w:p w:rsidR="00444845" w:rsidRDefault="00444845" w:rsidP="00444845">
      <w:r>
        <w:t>1) Check whether the category has senior person (62+)</w:t>
      </w:r>
    </w:p>
    <w:p w:rsidR="00444845" w:rsidRDefault="00C531C7" w:rsidP="00444845">
      <w:r>
        <w:t>2) Match</w:t>
      </w:r>
      <w:r w:rsidR="00444845">
        <w:t xml:space="preserve"> categories by size</w:t>
      </w:r>
    </w:p>
    <w:p w:rsidR="00444845" w:rsidRDefault="00C531C7" w:rsidP="00444845">
      <w:r>
        <w:t>3) Match</w:t>
      </w:r>
      <w:r w:rsidR="00444845">
        <w:t xml:space="preserve"> categories by income level</w:t>
      </w:r>
    </w:p>
    <w:p w:rsidR="00C531C7" w:rsidRDefault="00C531C7" w:rsidP="00444845"/>
    <w:p w:rsidR="00444845" w:rsidRDefault="00444845" w:rsidP="00444845">
      <w:r>
        <w:t xml:space="preserve">Due to using different source of the data for the projection, re-categorization was performed as closely as possible to the original HIA categorization. </w:t>
      </w:r>
      <w:r w:rsidR="00C531C7">
        <w:t>The table shows rearranged HIA categories.</w:t>
      </w:r>
    </w:p>
    <w:p w:rsidR="00444845" w:rsidRDefault="00444845" w:rsidP="00444845"/>
    <w:tbl>
      <w:tblPr>
        <w:tblStyle w:val="TableGrid"/>
        <w:tblW w:w="0" w:type="auto"/>
        <w:jc w:val="center"/>
        <w:tblLayout w:type="fixed"/>
        <w:tblLook w:val="04A0" w:firstRow="1" w:lastRow="0" w:firstColumn="1" w:lastColumn="0" w:noHBand="0" w:noVBand="1"/>
      </w:tblPr>
      <w:tblGrid>
        <w:gridCol w:w="2579"/>
        <w:gridCol w:w="2580"/>
      </w:tblGrid>
      <w:tr w:rsidR="00444845" w:rsidRPr="004B0F6C" w:rsidTr="00C531C7">
        <w:trPr>
          <w:trHeight w:val="273"/>
          <w:jc w:val="center"/>
        </w:trPr>
        <w:tc>
          <w:tcPr>
            <w:tcW w:w="2579" w:type="dxa"/>
            <w:noWrap/>
            <w:vAlign w:val="center"/>
            <w:hideMark/>
          </w:tcPr>
          <w:p w:rsidR="00444845" w:rsidRPr="004B0F6C" w:rsidRDefault="00444845" w:rsidP="00F4633E">
            <w:pPr>
              <w:jc w:val="center"/>
              <w:rPr>
                <w:b/>
                <w:bCs/>
              </w:rPr>
            </w:pPr>
            <w:r>
              <w:rPr>
                <w:b/>
                <w:bCs/>
              </w:rPr>
              <w:t>HIA by Metro</w:t>
            </w:r>
          </w:p>
        </w:tc>
        <w:tc>
          <w:tcPr>
            <w:tcW w:w="2580" w:type="dxa"/>
            <w:vAlign w:val="center"/>
          </w:tcPr>
          <w:p w:rsidR="00444845" w:rsidRPr="004B0F6C" w:rsidRDefault="00444845" w:rsidP="00F4633E">
            <w:pPr>
              <w:jc w:val="center"/>
              <w:rPr>
                <w:b/>
                <w:bCs/>
              </w:rPr>
            </w:pPr>
            <w:r>
              <w:rPr>
                <w:b/>
                <w:bCs/>
              </w:rPr>
              <w:t>HIA for the Projection</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h1i1a1</w:t>
            </w:r>
          </w:p>
        </w:tc>
        <w:tc>
          <w:tcPr>
            <w:tcW w:w="2580" w:type="dxa"/>
            <w:noWrap/>
            <w:vAlign w:val="center"/>
            <w:hideMark/>
          </w:tcPr>
          <w:p w:rsidR="00444845" w:rsidRPr="004B0F6C" w:rsidRDefault="00444845" w:rsidP="00F4633E">
            <w:pPr>
              <w:jc w:val="center"/>
            </w:pPr>
            <w:r w:rsidRPr="004B0F6C">
              <w:t>h1i1a0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h1i1a2</w:t>
            </w:r>
          </w:p>
        </w:tc>
        <w:tc>
          <w:tcPr>
            <w:tcW w:w="2580" w:type="dxa"/>
            <w:noWrap/>
            <w:vAlign w:val="center"/>
            <w:hideMark/>
          </w:tcPr>
          <w:p w:rsidR="00444845" w:rsidRPr="004B0F6C" w:rsidRDefault="00444845" w:rsidP="00F4633E">
            <w:pPr>
              <w:jc w:val="center"/>
            </w:pPr>
            <w:r w:rsidRPr="004B0F6C">
              <w:t>h1i1a0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h1i1a3</w:t>
            </w:r>
          </w:p>
        </w:tc>
        <w:tc>
          <w:tcPr>
            <w:tcW w:w="2580" w:type="dxa"/>
            <w:noWrap/>
            <w:vAlign w:val="center"/>
            <w:hideMark/>
          </w:tcPr>
          <w:p w:rsidR="00444845" w:rsidRPr="004B0F6C" w:rsidRDefault="00444845" w:rsidP="00F4633E">
            <w:pPr>
              <w:jc w:val="center"/>
            </w:pPr>
            <w:r w:rsidRPr="004B0F6C">
              <w:t>h1i1a0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h1i1a4</w:t>
            </w:r>
          </w:p>
        </w:tc>
        <w:tc>
          <w:tcPr>
            <w:tcW w:w="2580" w:type="dxa"/>
            <w:noWrap/>
            <w:vAlign w:val="center"/>
            <w:hideMark/>
          </w:tcPr>
          <w:p w:rsidR="00444845" w:rsidRPr="004B0F6C" w:rsidRDefault="00444845" w:rsidP="00F4633E">
            <w:pPr>
              <w:jc w:val="center"/>
            </w:pPr>
            <w:r w:rsidRPr="004B0F6C">
              <w:t>h1i1a4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h1i2a1</w:t>
            </w:r>
          </w:p>
        </w:tc>
        <w:tc>
          <w:tcPr>
            <w:tcW w:w="2580" w:type="dxa"/>
            <w:noWrap/>
            <w:vAlign w:val="center"/>
            <w:hideMark/>
          </w:tcPr>
          <w:p w:rsidR="00444845" w:rsidRPr="004B0F6C" w:rsidRDefault="00444845" w:rsidP="00F4633E">
            <w:pPr>
              <w:jc w:val="center"/>
            </w:pPr>
            <w:r w:rsidRPr="004B0F6C">
              <w:t>h1i3a0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h1i2a2</w:t>
            </w:r>
          </w:p>
        </w:tc>
        <w:tc>
          <w:tcPr>
            <w:tcW w:w="2580" w:type="dxa"/>
            <w:noWrap/>
            <w:vAlign w:val="center"/>
            <w:hideMark/>
          </w:tcPr>
          <w:p w:rsidR="00444845" w:rsidRPr="004B0F6C" w:rsidRDefault="00444845" w:rsidP="00F4633E">
            <w:pPr>
              <w:jc w:val="center"/>
            </w:pPr>
            <w:r w:rsidRPr="004B0F6C">
              <w:t>h1i3a0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h1i2a3</w:t>
            </w:r>
          </w:p>
        </w:tc>
        <w:tc>
          <w:tcPr>
            <w:tcW w:w="2580" w:type="dxa"/>
            <w:noWrap/>
            <w:vAlign w:val="center"/>
            <w:hideMark/>
          </w:tcPr>
          <w:p w:rsidR="00444845" w:rsidRPr="004B0F6C" w:rsidRDefault="00444845" w:rsidP="00F4633E">
            <w:pPr>
              <w:jc w:val="center"/>
            </w:pPr>
            <w:r w:rsidRPr="004B0F6C">
              <w:t>h1i3a0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h1i2a4</w:t>
            </w:r>
          </w:p>
        </w:tc>
        <w:tc>
          <w:tcPr>
            <w:tcW w:w="2580" w:type="dxa"/>
            <w:noWrap/>
            <w:vAlign w:val="center"/>
            <w:hideMark/>
          </w:tcPr>
          <w:p w:rsidR="00444845" w:rsidRPr="004B0F6C" w:rsidRDefault="00444845" w:rsidP="00F4633E">
            <w:pPr>
              <w:jc w:val="center"/>
            </w:pPr>
            <w:r w:rsidRPr="004B0F6C">
              <w:t>h1i3a4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h1i3a1</w:t>
            </w:r>
          </w:p>
        </w:tc>
        <w:tc>
          <w:tcPr>
            <w:tcW w:w="2580" w:type="dxa"/>
            <w:noWrap/>
            <w:vAlign w:val="center"/>
            <w:hideMark/>
          </w:tcPr>
          <w:p w:rsidR="00444845" w:rsidRPr="004B0F6C" w:rsidRDefault="00444845" w:rsidP="00F4633E">
            <w:pPr>
              <w:jc w:val="center"/>
            </w:pPr>
            <w:r w:rsidRPr="004B0F6C">
              <w:t>h1i3a0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h1i3a2</w:t>
            </w:r>
          </w:p>
        </w:tc>
        <w:tc>
          <w:tcPr>
            <w:tcW w:w="2580" w:type="dxa"/>
            <w:noWrap/>
            <w:vAlign w:val="center"/>
            <w:hideMark/>
          </w:tcPr>
          <w:p w:rsidR="00444845" w:rsidRPr="004B0F6C" w:rsidRDefault="00444845" w:rsidP="00F4633E">
            <w:pPr>
              <w:jc w:val="center"/>
            </w:pPr>
            <w:r w:rsidRPr="004B0F6C">
              <w:t>h1i3a0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h1i3a3</w:t>
            </w:r>
          </w:p>
        </w:tc>
        <w:tc>
          <w:tcPr>
            <w:tcW w:w="2580" w:type="dxa"/>
            <w:noWrap/>
            <w:vAlign w:val="center"/>
            <w:hideMark/>
          </w:tcPr>
          <w:p w:rsidR="00444845" w:rsidRPr="004B0F6C" w:rsidRDefault="00444845" w:rsidP="00F4633E">
            <w:pPr>
              <w:jc w:val="center"/>
            </w:pPr>
            <w:r w:rsidRPr="004B0F6C">
              <w:t>h1i3a0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lastRenderedPageBreak/>
              <w:t>h1i3a4</w:t>
            </w:r>
          </w:p>
        </w:tc>
        <w:tc>
          <w:tcPr>
            <w:tcW w:w="2580" w:type="dxa"/>
            <w:noWrap/>
            <w:vAlign w:val="center"/>
            <w:hideMark/>
          </w:tcPr>
          <w:p w:rsidR="00444845" w:rsidRPr="004B0F6C" w:rsidRDefault="00444845" w:rsidP="00F4633E">
            <w:pPr>
              <w:jc w:val="center"/>
            </w:pPr>
            <w:r w:rsidRPr="004B0F6C">
              <w:t>h1i3a4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h1i4a1</w:t>
            </w:r>
          </w:p>
        </w:tc>
        <w:tc>
          <w:tcPr>
            <w:tcW w:w="2580" w:type="dxa"/>
            <w:noWrap/>
            <w:vAlign w:val="center"/>
            <w:hideMark/>
          </w:tcPr>
          <w:p w:rsidR="00444845" w:rsidRPr="004B0F6C" w:rsidRDefault="00444845" w:rsidP="00F4633E">
            <w:pPr>
              <w:jc w:val="center"/>
            </w:pPr>
            <w:r w:rsidRPr="004B0F6C">
              <w:t>h1i3a0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h1i4a2</w:t>
            </w:r>
          </w:p>
        </w:tc>
        <w:tc>
          <w:tcPr>
            <w:tcW w:w="2580" w:type="dxa"/>
            <w:noWrap/>
            <w:vAlign w:val="center"/>
            <w:hideMark/>
          </w:tcPr>
          <w:p w:rsidR="00444845" w:rsidRPr="004B0F6C" w:rsidRDefault="00444845" w:rsidP="00F4633E">
            <w:pPr>
              <w:jc w:val="center"/>
            </w:pPr>
            <w:r w:rsidRPr="004B0F6C">
              <w:t>h1i3a0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h1i4a3</w:t>
            </w:r>
          </w:p>
        </w:tc>
        <w:tc>
          <w:tcPr>
            <w:tcW w:w="2580" w:type="dxa"/>
            <w:noWrap/>
            <w:vAlign w:val="center"/>
            <w:hideMark/>
          </w:tcPr>
          <w:p w:rsidR="00444845" w:rsidRPr="004B0F6C" w:rsidRDefault="00444845" w:rsidP="00F4633E">
            <w:pPr>
              <w:jc w:val="center"/>
            </w:pPr>
            <w:r w:rsidRPr="004B0F6C">
              <w:t>h1i3a0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h1i4a4</w:t>
            </w:r>
          </w:p>
        </w:tc>
        <w:tc>
          <w:tcPr>
            <w:tcW w:w="2580" w:type="dxa"/>
            <w:noWrap/>
            <w:vAlign w:val="center"/>
            <w:hideMark/>
          </w:tcPr>
          <w:p w:rsidR="00444845" w:rsidRPr="004B0F6C" w:rsidRDefault="00444845" w:rsidP="00F4633E">
            <w:pPr>
              <w:jc w:val="center"/>
            </w:pPr>
            <w:r w:rsidRPr="004B0F6C">
              <w:t>h1i3a4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h2i1a1</w:t>
            </w:r>
          </w:p>
        </w:tc>
        <w:tc>
          <w:tcPr>
            <w:tcW w:w="2580" w:type="dxa"/>
            <w:noWrap/>
            <w:vAlign w:val="center"/>
            <w:hideMark/>
          </w:tcPr>
          <w:p w:rsidR="00444845" w:rsidRPr="004B0F6C" w:rsidRDefault="00444845" w:rsidP="00F4633E">
            <w:pPr>
              <w:jc w:val="center"/>
            </w:pPr>
            <w:r w:rsidRPr="004B0F6C">
              <w:t>h3i1a0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h2i1a2</w:t>
            </w:r>
          </w:p>
        </w:tc>
        <w:tc>
          <w:tcPr>
            <w:tcW w:w="2580" w:type="dxa"/>
            <w:noWrap/>
            <w:vAlign w:val="center"/>
            <w:hideMark/>
          </w:tcPr>
          <w:p w:rsidR="00444845" w:rsidRPr="004B0F6C" w:rsidRDefault="00444845" w:rsidP="00F4633E">
            <w:pPr>
              <w:jc w:val="center"/>
            </w:pPr>
            <w:r w:rsidRPr="004B0F6C">
              <w:t>h3i1a0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h2i1a3</w:t>
            </w:r>
          </w:p>
        </w:tc>
        <w:tc>
          <w:tcPr>
            <w:tcW w:w="2580" w:type="dxa"/>
            <w:noWrap/>
            <w:vAlign w:val="center"/>
            <w:hideMark/>
          </w:tcPr>
          <w:p w:rsidR="00444845" w:rsidRPr="004B0F6C" w:rsidRDefault="00444845" w:rsidP="00F4633E">
            <w:pPr>
              <w:jc w:val="center"/>
            </w:pPr>
            <w:r w:rsidRPr="004B0F6C">
              <w:t>h3i1a0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h2i1a4</w:t>
            </w:r>
          </w:p>
        </w:tc>
        <w:tc>
          <w:tcPr>
            <w:tcW w:w="2580" w:type="dxa"/>
            <w:noWrap/>
            <w:vAlign w:val="center"/>
            <w:hideMark/>
          </w:tcPr>
          <w:p w:rsidR="00444845" w:rsidRPr="004B0F6C" w:rsidRDefault="00444845" w:rsidP="00F4633E">
            <w:pPr>
              <w:jc w:val="center"/>
            </w:pPr>
            <w:r w:rsidRPr="004B0F6C">
              <w:t>h3i1a4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h2i2a1</w:t>
            </w:r>
          </w:p>
        </w:tc>
        <w:tc>
          <w:tcPr>
            <w:tcW w:w="2580" w:type="dxa"/>
            <w:noWrap/>
            <w:vAlign w:val="center"/>
            <w:hideMark/>
          </w:tcPr>
          <w:p w:rsidR="00444845" w:rsidRPr="004B0F6C" w:rsidRDefault="00444845" w:rsidP="00F4633E">
            <w:pPr>
              <w:jc w:val="center"/>
            </w:pPr>
            <w:r w:rsidRPr="004B0F6C">
              <w:t>h3i2a0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h2i2a2</w:t>
            </w:r>
          </w:p>
        </w:tc>
        <w:tc>
          <w:tcPr>
            <w:tcW w:w="2580" w:type="dxa"/>
            <w:noWrap/>
            <w:vAlign w:val="center"/>
            <w:hideMark/>
          </w:tcPr>
          <w:p w:rsidR="00444845" w:rsidRPr="004B0F6C" w:rsidRDefault="00444845" w:rsidP="00F4633E">
            <w:pPr>
              <w:jc w:val="center"/>
            </w:pPr>
            <w:r w:rsidRPr="004B0F6C">
              <w:t>h3i2a0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h2i2a3</w:t>
            </w:r>
          </w:p>
        </w:tc>
        <w:tc>
          <w:tcPr>
            <w:tcW w:w="2580" w:type="dxa"/>
            <w:noWrap/>
            <w:vAlign w:val="center"/>
            <w:hideMark/>
          </w:tcPr>
          <w:p w:rsidR="00444845" w:rsidRPr="004B0F6C" w:rsidRDefault="00444845" w:rsidP="00F4633E">
            <w:pPr>
              <w:jc w:val="center"/>
            </w:pPr>
            <w:r w:rsidRPr="004B0F6C">
              <w:t>h3i2a0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h2i2a4</w:t>
            </w:r>
          </w:p>
        </w:tc>
        <w:tc>
          <w:tcPr>
            <w:tcW w:w="2580" w:type="dxa"/>
            <w:noWrap/>
            <w:vAlign w:val="center"/>
            <w:hideMark/>
          </w:tcPr>
          <w:p w:rsidR="00444845" w:rsidRPr="004B0F6C" w:rsidRDefault="00444845" w:rsidP="00F4633E">
            <w:pPr>
              <w:jc w:val="center"/>
            </w:pPr>
            <w:r w:rsidRPr="004B0F6C">
              <w:t>h3i2a4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h2i3a1</w:t>
            </w:r>
          </w:p>
        </w:tc>
        <w:tc>
          <w:tcPr>
            <w:tcW w:w="2580" w:type="dxa"/>
            <w:noWrap/>
            <w:vAlign w:val="center"/>
            <w:hideMark/>
          </w:tcPr>
          <w:p w:rsidR="00444845" w:rsidRPr="004B0F6C" w:rsidRDefault="00444845" w:rsidP="00F4633E">
            <w:pPr>
              <w:jc w:val="center"/>
            </w:pPr>
            <w:r w:rsidRPr="004B0F6C">
              <w:t>h3i3a0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h2i3a2</w:t>
            </w:r>
          </w:p>
        </w:tc>
        <w:tc>
          <w:tcPr>
            <w:tcW w:w="2580" w:type="dxa"/>
            <w:noWrap/>
            <w:vAlign w:val="center"/>
            <w:hideMark/>
          </w:tcPr>
          <w:p w:rsidR="00444845" w:rsidRPr="004B0F6C" w:rsidRDefault="00444845" w:rsidP="00F4633E">
            <w:pPr>
              <w:jc w:val="center"/>
            </w:pPr>
            <w:r w:rsidRPr="004B0F6C">
              <w:t>h3i3a0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h2i3a3</w:t>
            </w:r>
          </w:p>
        </w:tc>
        <w:tc>
          <w:tcPr>
            <w:tcW w:w="2580" w:type="dxa"/>
            <w:noWrap/>
            <w:vAlign w:val="center"/>
            <w:hideMark/>
          </w:tcPr>
          <w:p w:rsidR="00444845" w:rsidRPr="004B0F6C" w:rsidRDefault="00444845" w:rsidP="00F4633E">
            <w:pPr>
              <w:jc w:val="center"/>
            </w:pPr>
            <w:r w:rsidRPr="004B0F6C">
              <w:t>h3i3a0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h2i3a4</w:t>
            </w:r>
          </w:p>
        </w:tc>
        <w:tc>
          <w:tcPr>
            <w:tcW w:w="2580" w:type="dxa"/>
            <w:noWrap/>
            <w:vAlign w:val="center"/>
            <w:hideMark/>
          </w:tcPr>
          <w:p w:rsidR="00444845" w:rsidRPr="004B0F6C" w:rsidRDefault="00444845" w:rsidP="00F4633E">
            <w:pPr>
              <w:jc w:val="center"/>
            </w:pPr>
            <w:r w:rsidRPr="004B0F6C">
              <w:t>h3i3a4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h2i4a1</w:t>
            </w:r>
          </w:p>
        </w:tc>
        <w:tc>
          <w:tcPr>
            <w:tcW w:w="2580" w:type="dxa"/>
            <w:noWrap/>
            <w:vAlign w:val="center"/>
            <w:hideMark/>
          </w:tcPr>
          <w:p w:rsidR="00444845" w:rsidRPr="004B0F6C" w:rsidRDefault="00444845" w:rsidP="00F4633E">
            <w:pPr>
              <w:jc w:val="center"/>
            </w:pPr>
            <w:r w:rsidRPr="004B0F6C">
              <w:t>h3i4a0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h2i4a2</w:t>
            </w:r>
          </w:p>
        </w:tc>
        <w:tc>
          <w:tcPr>
            <w:tcW w:w="2580" w:type="dxa"/>
            <w:noWrap/>
            <w:vAlign w:val="center"/>
            <w:hideMark/>
          </w:tcPr>
          <w:p w:rsidR="00444845" w:rsidRPr="004B0F6C" w:rsidRDefault="00444845" w:rsidP="00F4633E">
            <w:pPr>
              <w:jc w:val="center"/>
            </w:pPr>
            <w:r w:rsidRPr="004B0F6C">
              <w:t>h3i4a0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h2i4a3</w:t>
            </w:r>
          </w:p>
        </w:tc>
        <w:tc>
          <w:tcPr>
            <w:tcW w:w="2580" w:type="dxa"/>
            <w:noWrap/>
            <w:vAlign w:val="center"/>
            <w:hideMark/>
          </w:tcPr>
          <w:p w:rsidR="00444845" w:rsidRPr="004B0F6C" w:rsidRDefault="00444845" w:rsidP="00F4633E">
            <w:pPr>
              <w:jc w:val="center"/>
            </w:pPr>
            <w:r w:rsidRPr="004B0F6C">
              <w:t>h3i4a0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h2i4a4</w:t>
            </w:r>
          </w:p>
        </w:tc>
        <w:tc>
          <w:tcPr>
            <w:tcW w:w="2580" w:type="dxa"/>
            <w:noWrap/>
            <w:vAlign w:val="center"/>
            <w:hideMark/>
          </w:tcPr>
          <w:p w:rsidR="00444845" w:rsidRPr="004B0F6C" w:rsidRDefault="00444845" w:rsidP="00F4633E">
            <w:pPr>
              <w:jc w:val="center"/>
            </w:pPr>
            <w:r w:rsidRPr="004B0F6C">
              <w:t>h3i3a4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h3i1a1</w:t>
            </w:r>
          </w:p>
        </w:tc>
        <w:tc>
          <w:tcPr>
            <w:tcW w:w="2580" w:type="dxa"/>
            <w:noWrap/>
            <w:vAlign w:val="center"/>
            <w:hideMark/>
          </w:tcPr>
          <w:p w:rsidR="00444845" w:rsidRPr="004B0F6C" w:rsidRDefault="00444845" w:rsidP="00F4633E">
            <w:pPr>
              <w:jc w:val="center"/>
            </w:pPr>
            <w:r w:rsidRPr="004B0F6C">
              <w:t>h3i1a0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h3i1a2</w:t>
            </w:r>
          </w:p>
        </w:tc>
        <w:tc>
          <w:tcPr>
            <w:tcW w:w="2580" w:type="dxa"/>
            <w:noWrap/>
            <w:vAlign w:val="center"/>
            <w:hideMark/>
          </w:tcPr>
          <w:p w:rsidR="00444845" w:rsidRPr="004B0F6C" w:rsidRDefault="00444845" w:rsidP="00F4633E">
            <w:pPr>
              <w:jc w:val="center"/>
            </w:pPr>
            <w:r w:rsidRPr="004B0F6C">
              <w:t>h3i1a0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h3i1a3</w:t>
            </w:r>
          </w:p>
        </w:tc>
        <w:tc>
          <w:tcPr>
            <w:tcW w:w="2580" w:type="dxa"/>
            <w:noWrap/>
            <w:vAlign w:val="center"/>
            <w:hideMark/>
          </w:tcPr>
          <w:p w:rsidR="00444845" w:rsidRPr="004B0F6C" w:rsidRDefault="00444845" w:rsidP="00F4633E">
            <w:pPr>
              <w:jc w:val="center"/>
            </w:pPr>
            <w:r w:rsidRPr="004B0F6C">
              <w:t>h3i1a0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h3i1a4</w:t>
            </w:r>
          </w:p>
        </w:tc>
        <w:tc>
          <w:tcPr>
            <w:tcW w:w="2580" w:type="dxa"/>
            <w:noWrap/>
            <w:vAlign w:val="center"/>
            <w:hideMark/>
          </w:tcPr>
          <w:p w:rsidR="00444845" w:rsidRPr="004B0F6C" w:rsidRDefault="00444845" w:rsidP="00F4633E">
            <w:pPr>
              <w:jc w:val="center"/>
            </w:pPr>
            <w:r w:rsidRPr="004B0F6C">
              <w:t>h3i1a4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h3i2a1</w:t>
            </w:r>
          </w:p>
        </w:tc>
        <w:tc>
          <w:tcPr>
            <w:tcW w:w="2580" w:type="dxa"/>
            <w:noWrap/>
            <w:vAlign w:val="center"/>
            <w:hideMark/>
          </w:tcPr>
          <w:p w:rsidR="00444845" w:rsidRPr="004B0F6C" w:rsidRDefault="00444845" w:rsidP="00F4633E">
            <w:pPr>
              <w:jc w:val="center"/>
            </w:pPr>
            <w:r w:rsidRPr="004B0F6C">
              <w:t>h3i2a0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h3i2a2</w:t>
            </w:r>
          </w:p>
        </w:tc>
        <w:tc>
          <w:tcPr>
            <w:tcW w:w="2580" w:type="dxa"/>
            <w:noWrap/>
            <w:vAlign w:val="center"/>
            <w:hideMark/>
          </w:tcPr>
          <w:p w:rsidR="00444845" w:rsidRPr="004B0F6C" w:rsidRDefault="00444845" w:rsidP="00F4633E">
            <w:pPr>
              <w:jc w:val="center"/>
            </w:pPr>
            <w:r w:rsidRPr="004B0F6C">
              <w:t>h3i2a0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h3i2a3</w:t>
            </w:r>
          </w:p>
        </w:tc>
        <w:tc>
          <w:tcPr>
            <w:tcW w:w="2580" w:type="dxa"/>
            <w:noWrap/>
            <w:vAlign w:val="center"/>
            <w:hideMark/>
          </w:tcPr>
          <w:p w:rsidR="00444845" w:rsidRPr="004B0F6C" w:rsidRDefault="00444845" w:rsidP="00F4633E">
            <w:pPr>
              <w:jc w:val="center"/>
            </w:pPr>
            <w:r w:rsidRPr="004B0F6C">
              <w:t>h3i2a0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h3i2a4</w:t>
            </w:r>
          </w:p>
        </w:tc>
        <w:tc>
          <w:tcPr>
            <w:tcW w:w="2580" w:type="dxa"/>
            <w:noWrap/>
            <w:vAlign w:val="center"/>
            <w:hideMark/>
          </w:tcPr>
          <w:p w:rsidR="00444845" w:rsidRPr="004B0F6C" w:rsidRDefault="00444845" w:rsidP="00F4633E">
            <w:pPr>
              <w:jc w:val="center"/>
            </w:pPr>
            <w:r w:rsidRPr="004B0F6C">
              <w:t>h3i2a4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h3i3a1</w:t>
            </w:r>
          </w:p>
        </w:tc>
        <w:tc>
          <w:tcPr>
            <w:tcW w:w="2580" w:type="dxa"/>
            <w:noWrap/>
            <w:vAlign w:val="center"/>
            <w:hideMark/>
          </w:tcPr>
          <w:p w:rsidR="00444845" w:rsidRPr="004B0F6C" w:rsidRDefault="00444845" w:rsidP="00F4633E">
            <w:pPr>
              <w:jc w:val="center"/>
            </w:pPr>
            <w:r w:rsidRPr="004B0F6C">
              <w:t>h3i3a0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h3i3a2</w:t>
            </w:r>
          </w:p>
        </w:tc>
        <w:tc>
          <w:tcPr>
            <w:tcW w:w="2580" w:type="dxa"/>
            <w:noWrap/>
            <w:vAlign w:val="center"/>
            <w:hideMark/>
          </w:tcPr>
          <w:p w:rsidR="00444845" w:rsidRPr="004B0F6C" w:rsidRDefault="00444845" w:rsidP="00F4633E">
            <w:pPr>
              <w:jc w:val="center"/>
            </w:pPr>
            <w:r w:rsidRPr="004B0F6C">
              <w:t>h3i3a0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h3i3a3</w:t>
            </w:r>
          </w:p>
        </w:tc>
        <w:tc>
          <w:tcPr>
            <w:tcW w:w="2580" w:type="dxa"/>
            <w:noWrap/>
            <w:vAlign w:val="center"/>
            <w:hideMark/>
          </w:tcPr>
          <w:p w:rsidR="00444845" w:rsidRPr="004B0F6C" w:rsidRDefault="00444845" w:rsidP="00F4633E">
            <w:pPr>
              <w:jc w:val="center"/>
            </w:pPr>
            <w:r w:rsidRPr="004B0F6C">
              <w:t>h3i3a0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h3i3a4</w:t>
            </w:r>
          </w:p>
        </w:tc>
        <w:tc>
          <w:tcPr>
            <w:tcW w:w="2580" w:type="dxa"/>
            <w:noWrap/>
            <w:vAlign w:val="center"/>
            <w:hideMark/>
          </w:tcPr>
          <w:p w:rsidR="00444845" w:rsidRPr="004B0F6C" w:rsidRDefault="00444845" w:rsidP="00F4633E">
            <w:pPr>
              <w:jc w:val="center"/>
            </w:pPr>
            <w:r w:rsidRPr="004B0F6C">
              <w:t>h3i3a4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h3i4a1</w:t>
            </w:r>
          </w:p>
        </w:tc>
        <w:tc>
          <w:tcPr>
            <w:tcW w:w="2580" w:type="dxa"/>
            <w:noWrap/>
            <w:vAlign w:val="center"/>
            <w:hideMark/>
          </w:tcPr>
          <w:p w:rsidR="00444845" w:rsidRPr="004B0F6C" w:rsidRDefault="00444845" w:rsidP="00F4633E">
            <w:pPr>
              <w:jc w:val="center"/>
            </w:pPr>
            <w:r w:rsidRPr="004B0F6C">
              <w:t>h3i4a0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h3i4a2</w:t>
            </w:r>
          </w:p>
        </w:tc>
        <w:tc>
          <w:tcPr>
            <w:tcW w:w="2580" w:type="dxa"/>
            <w:noWrap/>
            <w:vAlign w:val="center"/>
            <w:hideMark/>
          </w:tcPr>
          <w:p w:rsidR="00444845" w:rsidRPr="004B0F6C" w:rsidRDefault="00444845" w:rsidP="00F4633E">
            <w:pPr>
              <w:jc w:val="center"/>
            </w:pPr>
            <w:r w:rsidRPr="004B0F6C">
              <w:t>h3i4a0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h3i4a3</w:t>
            </w:r>
          </w:p>
        </w:tc>
        <w:tc>
          <w:tcPr>
            <w:tcW w:w="2580" w:type="dxa"/>
            <w:noWrap/>
            <w:vAlign w:val="center"/>
            <w:hideMark/>
          </w:tcPr>
          <w:p w:rsidR="00444845" w:rsidRPr="004B0F6C" w:rsidRDefault="00444845" w:rsidP="00F4633E">
            <w:pPr>
              <w:jc w:val="center"/>
            </w:pPr>
            <w:r w:rsidRPr="004B0F6C">
              <w:t>h3i4a0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h3i4a4</w:t>
            </w:r>
          </w:p>
        </w:tc>
        <w:tc>
          <w:tcPr>
            <w:tcW w:w="2580" w:type="dxa"/>
            <w:noWrap/>
            <w:vAlign w:val="center"/>
            <w:hideMark/>
          </w:tcPr>
          <w:p w:rsidR="00444845" w:rsidRPr="004B0F6C" w:rsidRDefault="00444845" w:rsidP="00F4633E">
            <w:pPr>
              <w:jc w:val="center"/>
            </w:pPr>
            <w:r w:rsidRPr="004B0F6C">
              <w:t>h3i3a4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h4i1a1</w:t>
            </w:r>
          </w:p>
        </w:tc>
        <w:tc>
          <w:tcPr>
            <w:tcW w:w="2580" w:type="dxa"/>
            <w:noWrap/>
            <w:vAlign w:val="center"/>
            <w:hideMark/>
          </w:tcPr>
          <w:p w:rsidR="00444845" w:rsidRPr="004B0F6C" w:rsidRDefault="00444845" w:rsidP="00F4633E">
            <w:pPr>
              <w:jc w:val="center"/>
            </w:pPr>
            <w:r w:rsidRPr="004B0F6C">
              <w:t>h5i1a0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h4i1a2</w:t>
            </w:r>
          </w:p>
        </w:tc>
        <w:tc>
          <w:tcPr>
            <w:tcW w:w="2580" w:type="dxa"/>
            <w:noWrap/>
            <w:vAlign w:val="center"/>
            <w:hideMark/>
          </w:tcPr>
          <w:p w:rsidR="00444845" w:rsidRPr="004B0F6C" w:rsidRDefault="00444845" w:rsidP="00F4633E">
            <w:pPr>
              <w:jc w:val="center"/>
            </w:pPr>
            <w:r w:rsidRPr="004B0F6C">
              <w:t>h5i1a0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h4i1a3</w:t>
            </w:r>
          </w:p>
        </w:tc>
        <w:tc>
          <w:tcPr>
            <w:tcW w:w="2580" w:type="dxa"/>
            <w:noWrap/>
            <w:vAlign w:val="center"/>
            <w:hideMark/>
          </w:tcPr>
          <w:p w:rsidR="00444845" w:rsidRPr="004B0F6C" w:rsidRDefault="00444845" w:rsidP="00F4633E">
            <w:pPr>
              <w:jc w:val="center"/>
            </w:pPr>
            <w:r w:rsidRPr="004B0F6C">
              <w:t>h5i1a0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h4i1a4</w:t>
            </w:r>
          </w:p>
        </w:tc>
        <w:tc>
          <w:tcPr>
            <w:tcW w:w="2580" w:type="dxa"/>
            <w:noWrap/>
            <w:vAlign w:val="center"/>
            <w:hideMark/>
          </w:tcPr>
          <w:p w:rsidR="00444845" w:rsidRPr="004B0F6C" w:rsidRDefault="00444845" w:rsidP="00F4633E">
            <w:pPr>
              <w:jc w:val="center"/>
            </w:pPr>
            <w:r w:rsidRPr="004B0F6C">
              <w:t>h3i1a4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h4i2a1</w:t>
            </w:r>
          </w:p>
        </w:tc>
        <w:tc>
          <w:tcPr>
            <w:tcW w:w="2580" w:type="dxa"/>
            <w:noWrap/>
            <w:vAlign w:val="center"/>
            <w:hideMark/>
          </w:tcPr>
          <w:p w:rsidR="00444845" w:rsidRPr="004B0F6C" w:rsidRDefault="00444845" w:rsidP="00F4633E">
            <w:pPr>
              <w:jc w:val="center"/>
            </w:pPr>
            <w:r w:rsidRPr="004B0F6C">
              <w:t>h5i1a0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h4i2a2</w:t>
            </w:r>
          </w:p>
        </w:tc>
        <w:tc>
          <w:tcPr>
            <w:tcW w:w="2580" w:type="dxa"/>
            <w:noWrap/>
            <w:vAlign w:val="center"/>
            <w:hideMark/>
          </w:tcPr>
          <w:p w:rsidR="00444845" w:rsidRPr="004B0F6C" w:rsidRDefault="00444845" w:rsidP="00F4633E">
            <w:pPr>
              <w:jc w:val="center"/>
            </w:pPr>
            <w:r w:rsidRPr="004B0F6C">
              <w:t>h5i1a0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h4i2a3</w:t>
            </w:r>
          </w:p>
        </w:tc>
        <w:tc>
          <w:tcPr>
            <w:tcW w:w="2580" w:type="dxa"/>
            <w:noWrap/>
            <w:vAlign w:val="center"/>
            <w:hideMark/>
          </w:tcPr>
          <w:p w:rsidR="00444845" w:rsidRPr="004B0F6C" w:rsidRDefault="00444845" w:rsidP="00F4633E">
            <w:pPr>
              <w:jc w:val="center"/>
            </w:pPr>
            <w:r w:rsidRPr="004B0F6C">
              <w:t>h5i1a0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h4i2a4</w:t>
            </w:r>
          </w:p>
        </w:tc>
        <w:tc>
          <w:tcPr>
            <w:tcW w:w="2580" w:type="dxa"/>
            <w:noWrap/>
            <w:vAlign w:val="center"/>
            <w:hideMark/>
          </w:tcPr>
          <w:p w:rsidR="00444845" w:rsidRPr="004B0F6C" w:rsidRDefault="00444845" w:rsidP="00F4633E">
            <w:pPr>
              <w:jc w:val="center"/>
            </w:pPr>
            <w:r w:rsidRPr="004B0F6C">
              <w:t>h3i2a4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lastRenderedPageBreak/>
              <w:t>h4i3a1</w:t>
            </w:r>
          </w:p>
        </w:tc>
        <w:tc>
          <w:tcPr>
            <w:tcW w:w="2580" w:type="dxa"/>
            <w:noWrap/>
            <w:vAlign w:val="center"/>
            <w:hideMark/>
          </w:tcPr>
          <w:p w:rsidR="00444845" w:rsidRPr="004B0F6C" w:rsidRDefault="00444845" w:rsidP="00F4633E">
            <w:pPr>
              <w:jc w:val="center"/>
            </w:pPr>
            <w:r w:rsidRPr="004B0F6C">
              <w:t>h5i3a0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h4i3a2</w:t>
            </w:r>
          </w:p>
        </w:tc>
        <w:tc>
          <w:tcPr>
            <w:tcW w:w="2580" w:type="dxa"/>
            <w:noWrap/>
            <w:vAlign w:val="center"/>
            <w:hideMark/>
          </w:tcPr>
          <w:p w:rsidR="00444845" w:rsidRPr="004B0F6C" w:rsidRDefault="00444845" w:rsidP="00F4633E">
            <w:pPr>
              <w:jc w:val="center"/>
            </w:pPr>
            <w:r w:rsidRPr="004B0F6C">
              <w:t>h5i3a0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h4i3a3</w:t>
            </w:r>
          </w:p>
        </w:tc>
        <w:tc>
          <w:tcPr>
            <w:tcW w:w="2580" w:type="dxa"/>
            <w:noWrap/>
            <w:vAlign w:val="center"/>
            <w:hideMark/>
          </w:tcPr>
          <w:p w:rsidR="00444845" w:rsidRPr="004B0F6C" w:rsidRDefault="00444845" w:rsidP="00F4633E">
            <w:pPr>
              <w:jc w:val="center"/>
            </w:pPr>
            <w:r w:rsidRPr="004B0F6C">
              <w:t>h5i3a0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h4i3a4</w:t>
            </w:r>
          </w:p>
        </w:tc>
        <w:tc>
          <w:tcPr>
            <w:tcW w:w="2580" w:type="dxa"/>
            <w:noWrap/>
            <w:vAlign w:val="center"/>
            <w:hideMark/>
          </w:tcPr>
          <w:p w:rsidR="00444845" w:rsidRPr="004B0F6C" w:rsidRDefault="00444845" w:rsidP="00F4633E">
            <w:pPr>
              <w:jc w:val="center"/>
            </w:pPr>
            <w:r w:rsidRPr="004B0F6C">
              <w:t>h3i3a4</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h4i4a1</w:t>
            </w:r>
          </w:p>
        </w:tc>
        <w:tc>
          <w:tcPr>
            <w:tcW w:w="2580" w:type="dxa"/>
            <w:noWrap/>
            <w:vAlign w:val="center"/>
            <w:hideMark/>
          </w:tcPr>
          <w:p w:rsidR="00444845" w:rsidRPr="004B0F6C" w:rsidRDefault="00444845" w:rsidP="00F4633E">
            <w:pPr>
              <w:jc w:val="center"/>
            </w:pPr>
            <w:r w:rsidRPr="004B0F6C">
              <w:t>h5i4a0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h4i4a2</w:t>
            </w:r>
          </w:p>
        </w:tc>
        <w:tc>
          <w:tcPr>
            <w:tcW w:w="2580" w:type="dxa"/>
            <w:noWrap/>
            <w:vAlign w:val="center"/>
            <w:hideMark/>
          </w:tcPr>
          <w:p w:rsidR="00444845" w:rsidRPr="004B0F6C" w:rsidRDefault="00444845" w:rsidP="00F4633E">
            <w:pPr>
              <w:jc w:val="center"/>
            </w:pPr>
            <w:r w:rsidRPr="004B0F6C">
              <w:t>h5i4a0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h4i4a3</w:t>
            </w:r>
          </w:p>
        </w:tc>
        <w:tc>
          <w:tcPr>
            <w:tcW w:w="2580" w:type="dxa"/>
            <w:noWrap/>
            <w:vAlign w:val="center"/>
            <w:hideMark/>
          </w:tcPr>
          <w:p w:rsidR="00444845" w:rsidRPr="004B0F6C" w:rsidRDefault="00444845" w:rsidP="00F4633E">
            <w:pPr>
              <w:jc w:val="center"/>
            </w:pPr>
            <w:r w:rsidRPr="004B0F6C">
              <w:t>h5i4a0</w:t>
            </w:r>
          </w:p>
        </w:tc>
      </w:tr>
      <w:tr w:rsidR="00444845" w:rsidRPr="004B0F6C" w:rsidTr="00C531C7">
        <w:trPr>
          <w:trHeight w:val="273"/>
          <w:jc w:val="center"/>
        </w:trPr>
        <w:tc>
          <w:tcPr>
            <w:tcW w:w="2579" w:type="dxa"/>
            <w:noWrap/>
            <w:vAlign w:val="center"/>
            <w:hideMark/>
          </w:tcPr>
          <w:p w:rsidR="00444845" w:rsidRPr="004B0F6C" w:rsidRDefault="00444845" w:rsidP="00F4633E">
            <w:pPr>
              <w:jc w:val="center"/>
            </w:pPr>
            <w:r w:rsidRPr="004B0F6C">
              <w:t>h4i4a4</w:t>
            </w:r>
          </w:p>
        </w:tc>
        <w:tc>
          <w:tcPr>
            <w:tcW w:w="2580" w:type="dxa"/>
            <w:noWrap/>
            <w:vAlign w:val="center"/>
            <w:hideMark/>
          </w:tcPr>
          <w:p w:rsidR="00444845" w:rsidRPr="004B0F6C" w:rsidRDefault="00444845" w:rsidP="00F4633E">
            <w:pPr>
              <w:jc w:val="center"/>
            </w:pPr>
            <w:r w:rsidRPr="004B0F6C">
              <w:t>h3i3a4</w:t>
            </w:r>
          </w:p>
        </w:tc>
      </w:tr>
    </w:tbl>
    <w:p w:rsidR="00444845" w:rsidRDefault="00444845" w:rsidP="00444845"/>
    <w:p w:rsidR="00444845" w:rsidRDefault="00444845" w:rsidP="00444845"/>
    <w:p w:rsidR="00444845" w:rsidRDefault="00444845" w:rsidP="00444845">
      <w:pPr>
        <w:ind w:left="720"/>
        <w:contextualSpacing/>
      </w:pPr>
    </w:p>
    <w:p w:rsidR="00444845" w:rsidRDefault="00C019DB" w:rsidP="00444845">
      <w:r>
        <w:t xml:space="preserve">7. </w:t>
      </w:r>
      <w:r w:rsidR="00444845">
        <w:t>Calculation of Projection</w:t>
      </w:r>
    </w:p>
    <w:p w:rsidR="00444845" w:rsidRDefault="00444845" w:rsidP="00444845"/>
    <w:p w:rsidR="00444845" w:rsidRDefault="00444845" w:rsidP="00444845">
      <w:r>
        <w:t>1) Aggregated the HIA 2015 data prepared by Metro from TAZ to Tract</w:t>
      </w:r>
    </w:p>
    <w:p w:rsidR="00C531C7" w:rsidRDefault="00C531C7" w:rsidP="00444845"/>
    <w:p w:rsidR="00444845" w:rsidRDefault="00444845" w:rsidP="00444845">
      <w:r>
        <w:t xml:space="preserve">2) Combined tract level HIA 2015 data followed by the 14 categories </w:t>
      </w:r>
    </w:p>
    <w:p w:rsidR="00444845" w:rsidRDefault="00444845" w:rsidP="00444845">
      <w:r>
        <w:t>e.g. h1i1a0 =h1i1a1+</w:t>
      </w:r>
      <w:r w:rsidRPr="000B7B65">
        <w:t xml:space="preserve"> </w:t>
      </w:r>
      <w:r w:rsidRPr="004B0F6C">
        <w:t>h1i1a2</w:t>
      </w:r>
      <w:r>
        <w:t>+</w:t>
      </w:r>
      <w:r w:rsidRPr="000B7B65">
        <w:t xml:space="preserve"> </w:t>
      </w:r>
      <w:r w:rsidRPr="004B0F6C">
        <w:t>h1i1a3</w:t>
      </w:r>
    </w:p>
    <w:p w:rsidR="00C531C7" w:rsidRDefault="00C531C7" w:rsidP="00444845"/>
    <w:p w:rsidR="00444845" w:rsidRDefault="00C531C7" w:rsidP="00444845">
      <w:r>
        <w:t xml:space="preserve">3) </w:t>
      </w:r>
      <w:proofErr w:type="gramStart"/>
      <w:r>
        <w:t>had</w:t>
      </w:r>
      <w:proofErr w:type="gramEnd"/>
      <w:r w:rsidR="00444845">
        <w:t xml:space="preserve"> proportions for each category (64 categories) as a matrix by category and tract</w:t>
      </w:r>
    </w:p>
    <w:p w:rsidR="00444845" w:rsidRDefault="00444845" w:rsidP="00444845">
      <w:proofErr w:type="gramStart"/>
      <w:r>
        <w:t>e.g</w:t>
      </w:r>
      <w:proofErr w:type="gramEnd"/>
      <w:r w:rsidR="00C531C7">
        <w:t>.</w:t>
      </w:r>
      <w:r>
        <w:t xml:space="preserve"> The proportion of original population number of H1i1a1 to h1i1a0 </w:t>
      </w:r>
    </w:p>
    <w:p w:rsidR="00444845" w:rsidRDefault="00444845" w:rsidP="00444845">
      <w:r>
        <w:t xml:space="preserve">  = h1i1a1/ (h1i1a1+</w:t>
      </w:r>
      <w:r w:rsidRPr="000B7B65">
        <w:t xml:space="preserve"> </w:t>
      </w:r>
      <w:r w:rsidRPr="004B0F6C">
        <w:t>h1i1a2</w:t>
      </w:r>
      <w:r>
        <w:t>+</w:t>
      </w:r>
      <w:r w:rsidRPr="000B7B65">
        <w:t xml:space="preserve"> </w:t>
      </w:r>
      <w:r w:rsidRPr="004B0F6C">
        <w:t>h1i1a3</w:t>
      </w:r>
      <w:r>
        <w:t>)</w:t>
      </w:r>
    </w:p>
    <w:p w:rsidR="00C531C7" w:rsidRDefault="00C531C7" w:rsidP="00444845"/>
    <w:p w:rsidR="00444845" w:rsidRDefault="00444845" w:rsidP="00444845">
      <w:r>
        <w:t>4) In order to calculate the expected value, multiplication of the projected probability of displacement by the population change for tracts of that type was performed.</w:t>
      </w:r>
    </w:p>
    <w:p w:rsidR="00C531C7" w:rsidRDefault="00C531C7" w:rsidP="00444845"/>
    <w:p w:rsidR="00444845" w:rsidRDefault="00444845" w:rsidP="00444845">
      <w:r>
        <w:t>5) Projection, the number of population change, was added up the base.</w:t>
      </w:r>
    </w:p>
    <w:p w:rsidR="00C531C7" w:rsidRDefault="00C531C7" w:rsidP="00444845"/>
    <w:p w:rsidR="00444845" w:rsidRDefault="00444845" w:rsidP="00444845">
      <w:r>
        <w:t>6) The final population number for HIA in 14 categories was disaggregated to original 64 categories through multiplying the final number by the proportions (step 3)</w:t>
      </w:r>
    </w:p>
    <w:p w:rsidR="00C531C7" w:rsidRDefault="00C531C7" w:rsidP="00444845"/>
    <w:p w:rsidR="00444845" w:rsidRDefault="00444845" w:rsidP="00444845">
      <w:r>
        <w:t xml:space="preserve">7) The final projection number was disaggregated at the TAZ level. </w:t>
      </w:r>
    </w:p>
    <w:p w:rsidR="00C531C7" w:rsidRDefault="00C531C7" w:rsidP="00444845"/>
    <w:p w:rsidR="00C019DB" w:rsidRDefault="00C019DB" w:rsidP="00444845">
      <w:r>
        <w:t xml:space="preserve">8) Zero out all negative numbers was done for the final projection.  </w:t>
      </w:r>
    </w:p>
    <w:p w:rsidR="0057039B" w:rsidRDefault="0057039B"/>
    <w:p w:rsidR="0057039B" w:rsidRDefault="0057039B"/>
    <w:p w:rsidR="0057039B" w:rsidRDefault="0057039B"/>
    <w:p w:rsidR="0057039B" w:rsidRDefault="00C019DB">
      <w:r>
        <w:t>8</w:t>
      </w:r>
      <w:r w:rsidR="00CF1570">
        <w:t>. [</w:t>
      </w:r>
      <w:proofErr w:type="gramStart"/>
      <w:r w:rsidR="00CF1570">
        <w:t>somebody</w:t>
      </w:r>
      <w:proofErr w:type="gramEnd"/>
      <w:r w:rsidR="00CF1570">
        <w:t xml:space="preserve"> else will use these to estimate GHG]</w:t>
      </w:r>
    </w:p>
    <w:p w:rsidR="00E20E12" w:rsidRDefault="00E20E12">
      <w:r>
        <w:br w:type="page"/>
      </w:r>
    </w:p>
    <w:p w:rsidR="0057039B" w:rsidRDefault="00CF1570">
      <w:bookmarkStart w:id="0" w:name="_GoBack"/>
      <w:bookmarkEnd w:id="0"/>
      <w:r>
        <w:lastRenderedPageBreak/>
        <w:t>DATASETS:</w:t>
      </w:r>
    </w:p>
    <w:p w:rsidR="0057039B" w:rsidRDefault="0057039B"/>
    <w:p w:rsidR="0057039B" w:rsidRDefault="00CF1570">
      <w:r>
        <w:rPr>
          <w:highlight w:val="cyan"/>
        </w:rPr>
        <w:t xml:space="preserve">Excel workbook is </w:t>
      </w:r>
      <w:r w:rsidR="00C019DB">
        <w:rPr>
          <w:highlight w:val="cyan"/>
        </w:rPr>
        <w:t>RE_</w:t>
      </w:r>
      <w:r>
        <w:rPr>
          <w:highlight w:val="cyan"/>
        </w:rPr>
        <w:t>HIA_2015_fullset</w:t>
      </w:r>
    </w:p>
    <w:p w:rsidR="0057039B" w:rsidRDefault="0057039B"/>
    <w:p w:rsidR="0057039B" w:rsidRDefault="00CF1570">
      <w:r>
        <w:t>Individual sheets:</w:t>
      </w:r>
    </w:p>
    <w:p w:rsidR="0057039B" w:rsidRDefault="00CF1570">
      <w:proofErr w:type="spellStart"/>
      <w:r>
        <w:t>PRprobsDISPLACE</w:t>
      </w:r>
      <w:proofErr w:type="spellEnd"/>
      <w:r>
        <w:t xml:space="preserve"> is projected probability that a tract will experience low income household displacement</w:t>
      </w:r>
    </w:p>
    <w:p w:rsidR="0057039B" w:rsidRDefault="0057039B"/>
    <w:p w:rsidR="0057039B" w:rsidRDefault="00CF1570">
      <w:proofErr w:type="gramStart"/>
      <w:r>
        <w:t>AVE.CHANGE(</w:t>
      </w:r>
      <w:proofErr w:type="gramEnd"/>
      <w:r>
        <w:t>%)by types calculates the population change (%) actually observed in tracts of Type (ABCDEF) during 2010-2015</w:t>
      </w:r>
    </w:p>
    <w:p w:rsidR="0057039B" w:rsidRDefault="0057039B"/>
    <w:p w:rsidR="0057039B" w:rsidRDefault="00CF1570">
      <w:r>
        <w:t>Expected value(change pop) is the projected probability of displacement * the population change for tracts of that type, by tracts (each TAZ is assigned the expected value --which is a percent change in population --by the tract in which its centroid is found)</w:t>
      </w:r>
    </w:p>
    <w:p w:rsidR="0057039B" w:rsidRDefault="0057039B"/>
    <w:p w:rsidR="0057039B" w:rsidRDefault="00CF1570">
      <w:r>
        <w:t>[</w:t>
      </w:r>
      <w:r w:rsidR="00C019DB">
        <w:t>RE_</w:t>
      </w:r>
      <w:r>
        <w:t>HIA2015_BASE is the data prepared by Metro for 2015 TAZ populations]</w:t>
      </w:r>
    </w:p>
    <w:p w:rsidR="0057039B" w:rsidRDefault="0057039B"/>
    <w:p w:rsidR="0057039B" w:rsidRDefault="00C019DB">
      <w:r>
        <w:t>RE_</w:t>
      </w:r>
      <w:r w:rsidR="00CF1570">
        <w:t>HIA_HH_CH_PROJECTION is the number (+ or -) of population *change* from the base</w:t>
      </w:r>
    </w:p>
    <w:p w:rsidR="0057039B" w:rsidRDefault="0057039B"/>
    <w:p w:rsidR="0057039B" w:rsidRDefault="00C019DB">
      <w:r>
        <w:t>RE_</w:t>
      </w:r>
      <w:r w:rsidR="00CF1570">
        <w:t xml:space="preserve">HIA_PROJECTION_FINAL is the final population number for </w:t>
      </w:r>
      <w:r>
        <w:t xml:space="preserve">14 </w:t>
      </w:r>
      <w:r w:rsidR="00CF1570">
        <w:t>HIA</w:t>
      </w:r>
      <w:r>
        <w:t xml:space="preserve"> categories</w:t>
      </w:r>
      <w:r w:rsidR="00CF1570">
        <w:t xml:space="preserve"> in each TAZ (base data + projected change data)</w:t>
      </w:r>
    </w:p>
    <w:p w:rsidR="0057039B" w:rsidRDefault="0057039B"/>
    <w:p w:rsidR="00C019DB" w:rsidRDefault="00C019DB" w:rsidP="00C019DB">
      <w:r w:rsidRPr="00C019DB">
        <w:t xml:space="preserve">RE_HIA 2015_RESULTS_64COLUMNS </w:t>
      </w:r>
      <w:r>
        <w:t>is the final population number for</w:t>
      </w:r>
      <w:r>
        <w:t xml:space="preserve"> 64</w:t>
      </w:r>
      <w:r>
        <w:t xml:space="preserve"> HIA </w:t>
      </w:r>
      <w:r>
        <w:t>categories in each TAZ.</w:t>
      </w:r>
    </w:p>
    <w:p w:rsidR="0057039B" w:rsidRDefault="0057039B"/>
    <w:p w:rsidR="00C019DB" w:rsidRDefault="00C019DB">
      <w:r w:rsidRPr="00C019DB">
        <w:t>RE_HIA 2015_RESULTS_ZERO OUT</w:t>
      </w:r>
      <w:r>
        <w:t xml:space="preserve"> is the final result that all negative numbers were zero out for 64 categories in each TAZ.</w:t>
      </w:r>
    </w:p>
    <w:p w:rsidR="00C019DB" w:rsidRDefault="00C019DB"/>
    <w:p w:rsidR="0057039B" w:rsidRDefault="0057039B"/>
    <w:p w:rsidR="0057039B" w:rsidRDefault="0057039B"/>
    <w:p w:rsidR="0057039B" w:rsidRDefault="0057039B"/>
    <w:p w:rsidR="0057039B" w:rsidRDefault="0057039B"/>
    <w:sectPr w:rsidR="005703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87FE2"/>
    <w:multiLevelType w:val="multilevel"/>
    <w:tmpl w:val="CE5E9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D990C56"/>
    <w:multiLevelType w:val="multilevel"/>
    <w:tmpl w:val="F8128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AEC12DE"/>
    <w:multiLevelType w:val="multilevel"/>
    <w:tmpl w:val="14B00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43372F9"/>
    <w:multiLevelType w:val="multilevel"/>
    <w:tmpl w:val="2806BB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F7B09DC"/>
    <w:multiLevelType w:val="multilevel"/>
    <w:tmpl w:val="F2D8E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5CF6507"/>
    <w:multiLevelType w:val="multilevel"/>
    <w:tmpl w:val="03F651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9B"/>
    <w:rsid w:val="00444845"/>
    <w:rsid w:val="0057039B"/>
    <w:rsid w:val="00A4131D"/>
    <w:rsid w:val="00AD7A94"/>
    <w:rsid w:val="00C019DB"/>
    <w:rsid w:val="00C531C7"/>
    <w:rsid w:val="00CF1570"/>
    <w:rsid w:val="00E2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0F846-65AA-459B-91FC-DD2A12AC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styleId="TableGrid">
    <w:name w:val="Table Grid"/>
    <w:basedOn w:val="TableNormal"/>
    <w:uiPriority w:val="39"/>
    <w:rsid w:val="004448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3782">
      <w:bodyDiv w:val="1"/>
      <w:marLeft w:val="0"/>
      <w:marRight w:val="0"/>
      <w:marTop w:val="0"/>
      <w:marBottom w:val="0"/>
      <w:divBdr>
        <w:top w:val="none" w:sz="0" w:space="0" w:color="auto"/>
        <w:left w:val="none" w:sz="0" w:space="0" w:color="auto"/>
        <w:bottom w:val="none" w:sz="0" w:space="0" w:color="auto"/>
        <w:right w:val="none" w:sz="0" w:space="0" w:color="auto"/>
      </w:divBdr>
    </w:div>
    <w:div w:id="1669676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Bates</dc:creator>
  <cp:lastModifiedBy>Seyoung Sung</cp:lastModifiedBy>
  <cp:revision>3</cp:revision>
  <dcterms:created xsi:type="dcterms:W3CDTF">2016-09-21T21:55:00Z</dcterms:created>
  <dcterms:modified xsi:type="dcterms:W3CDTF">2016-09-21T21:55:00Z</dcterms:modified>
</cp:coreProperties>
</file>